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Arial"/>
          <w:color w:val="000000"/>
          <w:sz w:val="26"/>
          <w:szCs w:val="26"/>
        </w:rPr>
      </w:pPr>
      <w:r>
        <w:rPr>
          <w:rFonts w:hint="eastAsia" w:ascii="宋体" w:hAnsi="宋体" w:cs="Arial"/>
          <w:b/>
          <w:bCs/>
          <w:color w:val="000000"/>
          <w:sz w:val="44"/>
          <w:szCs w:val="44"/>
        </w:rPr>
        <w:t>采购需求</w:t>
      </w:r>
    </w:p>
    <w:p>
      <w:r>
        <w:rPr>
          <w:rFonts w:hint="eastAsia" w:asciiTheme="minorEastAsia" w:hAnsiTheme="minorEastAsia" w:cstheme="minorEastAsia"/>
          <w:color w:val="auto"/>
          <w:spacing w:val="0"/>
          <w:sz w:val="28"/>
          <w:szCs w:val="28"/>
          <w:shd w:val="clear" w:fill="FFFFFF"/>
          <w:lang w:val="en-US" w:eastAsia="zh-CN"/>
        </w:rPr>
        <w:t>《安徽画报》霍山石斛宣传服务采购项目，采购主要服务内容为安徽画报社将围绕“中华瑰宝 霍山石斛”这一大主题，撰写“霍山石斛：“仙草”花开生活美”文字专题，从仙草当是霍山“斛”、“斛”光山色聚琳琅、仿生栽“斛”妙处足、养生之“斛”多滋味、一“斛”百应助振兴 ，共计五大方面出发，阐述神奇的霍山石斛发展的基因密码，同时，配之以精美的高清大图，并刊登在《安徽画报》正刊，计划刊登2021年8月——10月的《安徽画报》正刊封面一页，内页4页。同时将在安徽画报社宣传矩阵上做系列报道，同步发布在《安徽画报》、《市场星报》、安徽财经网、官方微信、掌中安徽APP、抖音、头条号等宣传平台，即两报一网以及融媒体平台，进行即时、深度解析，通过图文并茂的宣传，形成全媒体宣传矩阵系列报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6328B"/>
    <w:rsid w:val="2D0E022C"/>
    <w:rsid w:val="63C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200" w:leftChars="200"/>
    </w:pPr>
    <w:rPr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2021-07-14T09:56:00Z</dcterms:created>
  <dc:creator>南栀</dc:creator>
  <cp:lastModifiedBy>吴丹</cp:lastModifiedBy>
  <dcterms:modified xsi:type="dcterms:W3CDTF">2021-07-28T02:00:21Z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26136D6F02A34011A49385FF05F3FFBE</vt:lpwstr>
  </property>
</Properties>
</file>