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霍山县人民政府网第三方监测评估询价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霍山县人民政府网第三方监测评估</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HSYD-2021-151</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十一月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霍山县人民政府网第三方监测评估</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霍山县人民政府网第三方监测评估</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霍山县人民政府网第三方监测评估</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安徽互联智库数据技术有限公司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合肥知政数据技术有限公司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安徽致远慧联电子科技有限公司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霍山县人民政府网第三方监测评估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HSYD-2021-151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200000.00元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7、项目最高限价：200000.00元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一年</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霍山县人民政府网第三方监测评估，具体工作内容详见采购文件和采购需求清单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11月26日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12</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12</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11月26日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霍山县人民政府网第三方监测评估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贰拾万元整（￥2</w:t>
            </w:r>
            <w:r>
              <w:rPr>
                <w:rFonts w:hint="eastAsia" w:cs="宋体"/>
                <w:i w:val="0"/>
                <w:caps w:val="0"/>
                <w:color w:val="auto"/>
                <w:spacing w:val="0"/>
                <w:sz w:val="21"/>
                <w:szCs w:val="21"/>
                <w:highlight w:val="none"/>
                <w:u w:val="single"/>
                <w:shd w:val="clear" w:color="auto" w:fill="FFFFFF"/>
                <w:lang w:val="en-US" w:eastAsia="zh-CN"/>
              </w:rPr>
              <w:t>00000.00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）/年</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符合合同签订一次性付清。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bookmarkStart w:id="80" w:name="_GoBack"/>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12</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216158625"/>
      <w:bookmarkStart w:id="14" w:name="_Toc438648662"/>
      <w:bookmarkStart w:id="15" w:name="_Toc12806"/>
      <w:bookmarkStart w:id="16" w:name="_Toc363199266"/>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25805"/>
      <w:bookmarkStart w:id="32" w:name="_Toc8300_WPSOffice_Level1"/>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keepNext w:val="0"/>
        <w:keepLines w:val="0"/>
        <w:widowControl/>
        <w:numPr>
          <w:ilvl w:val="0"/>
          <w:numId w:val="2"/>
        </w:numPr>
        <w:suppressLineNumbers w:val="0"/>
        <w:ind w:left="0" w:leftChars="0" w:firstLine="400" w:firstLineChars="0"/>
        <w:jc w:val="left"/>
        <w:rPr>
          <w:sz w:val="32"/>
          <w:szCs w:val="32"/>
        </w:rPr>
      </w:pPr>
      <w:bookmarkStart w:id="36" w:name="_Toc11297"/>
      <w:bookmarkStart w:id="37" w:name="_Toc4288_WPSOffice_Level1"/>
      <w:r>
        <w:rPr>
          <w:rFonts w:ascii="宋体" w:hAnsi="宋体" w:eastAsia="宋体" w:cs="宋体"/>
          <w:b/>
          <w:color w:val="000000"/>
          <w:kern w:val="0"/>
          <w:sz w:val="32"/>
          <w:szCs w:val="32"/>
          <w:lang w:val="en-US" w:eastAsia="zh-CN" w:bidi="ar"/>
        </w:rPr>
        <w:t xml:space="preserve">项目概况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78" w:firstLineChars="171"/>
        <w:jc w:val="left"/>
        <w:textAlignment w:val="auto"/>
        <w:outlineLvl w:val="9"/>
        <w:rPr>
          <w:rFonts w:hint="default" w:ascii="宋体" w:hAnsi="宋体" w:eastAsia="宋体" w:cs="宋体"/>
          <w:b w:val="0"/>
          <w:i w:val="0"/>
          <w:caps w:val="0"/>
          <w:color w:val="333333"/>
          <w:spacing w:val="0"/>
          <w:kern w:val="0"/>
          <w:sz w:val="28"/>
          <w:szCs w:val="28"/>
          <w:u w:val="none"/>
          <w:shd w:val="clear" w:color="auto" w:fill="FFFFFF"/>
          <w:lang w:eastAsia="zh-Hans" w:bidi="ar"/>
        </w:rPr>
      </w:pPr>
      <w:r>
        <w:rPr>
          <w:rFonts w:hint="eastAsia" w:ascii="宋体" w:hAnsi="宋体" w:eastAsia="宋体" w:cs="宋体"/>
          <w:color w:val="000000"/>
          <w:sz w:val="28"/>
          <w:szCs w:val="28"/>
        </w:rPr>
        <w:t>根据《国务院办公厅关于印发政府网站发展指引的通知》（国办发〔2017〕47号）、《安徽省人民政府办公厅关于进一步加强政务微博微信建设的通知》（皖政办秘〔2016〕136号）、《关于推进政务新媒体健康有序发展的意见》国办发〔2018〕123号</w:t>
      </w:r>
      <w:r>
        <w:rPr>
          <w:rFonts w:hint="default" w:hAnsi="宋体" w:eastAsia="宋体" w:cs="宋体"/>
          <w:color w:val="000000"/>
          <w:sz w:val="28"/>
          <w:szCs w:val="28"/>
        </w:rPr>
        <w:t>、</w:t>
      </w:r>
      <w:r>
        <w:rPr>
          <w:rFonts w:hint="eastAsia" w:ascii="宋体" w:hAnsi="宋体" w:eastAsia="宋体" w:cs="宋体"/>
          <w:b w:val="0"/>
          <w:i w:val="0"/>
          <w:caps w:val="0"/>
          <w:color w:val="333333"/>
          <w:spacing w:val="0"/>
          <w:kern w:val="0"/>
          <w:sz w:val="28"/>
          <w:szCs w:val="28"/>
          <w:u w:val="none"/>
          <w:shd w:val="clear" w:color="auto" w:fill="FFFFFF"/>
          <w:lang w:val="en-US" w:eastAsia="zh-CN" w:bidi="ar"/>
        </w:rPr>
        <w:t>国务院办公厅《政府网站与政务新媒体检查指标》和《政府网站与政务新媒体监管工作年度考核指标》安徽省人民政府办公厅关于印发</w:t>
      </w:r>
      <w:r>
        <w:rPr>
          <w:rFonts w:hint="default" w:hAnsi="宋体" w:eastAsia="宋体" w:cs="宋体"/>
          <w:b w:val="0"/>
          <w:i w:val="0"/>
          <w:caps w:val="0"/>
          <w:color w:val="333333"/>
          <w:spacing w:val="0"/>
          <w:kern w:val="0"/>
          <w:sz w:val="28"/>
          <w:szCs w:val="28"/>
          <w:u w:val="none"/>
          <w:shd w:val="clear" w:color="auto" w:fill="FFFFFF"/>
          <w:lang w:eastAsia="zh-CN" w:bidi="ar"/>
        </w:rPr>
        <w:t>《</w:t>
      </w:r>
      <w:r>
        <w:rPr>
          <w:rFonts w:hint="eastAsia" w:ascii="宋体" w:hAnsi="宋体" w:eastAsia="宋体" w:cs="宋体"/>
          <w:b w:val="0"/>
          <w:i w:val="0"/>
          <w:caps w:val="0"/>
          <w:color w:val="333333"/>
          <w:spacing w:val="0"/>
          <w:kern w:val="0"/>
          <w:sz w:val="28"/>
          <w:szCs w:val="28"/>
          <w:u w:val="none"/>
          <w:shd w:val="clear" w:color="auto" w:fill="FFFFFF"/>
          <w:lang w:val="en-US" w:eastAsia="zh-CN" w:bidi="ar"/>
        </w:rPr>
        <w:t>安徽省政府网站与政务新媒体检查及工作考核指标的通知》</w:t>
      </w:r>
      <w:r>
        <w:rPr>
          <w:rFonts w:hint="eastAsia" w:ascii="宋体" w:hAnsi="宋体" w:eastAsia="宋体" w:cs="宋体"/>
          <w:b w:val="0"/>
          <w:i w:val="0"/>
          <w:caps w:val="0"/>
          <w:color w:val="333333"/>
          <w:spacing w:val="0"/>
          <w:kern w:val="0"/>
          <w:sz w:val="28"/>
          <w:szCs w:val="28"/>
          <w:u w:val="none"/>
          <w:shd w:val="clear" w:color="auto" w:fill="FFFFFF"/>
          <w:lang w:val="en-US" w:eastAsia="zh-Hans" w:bidi="ar"/>
        </w:rPr>
        <w:t>等文件要求</w:t>
      </w:r>
      <w:r>
        <w:rPr>
          <w:rFonts w:hint="default" w:ascii="宋体" w:hAnsi="宋体" w:eastAsia="宋体" w:cs="宋体"/>
          <w:b w:val="0"/>
          <w:i w:val="0"/>
          <w:caps w:val="0"/>
          <w:color w:val="333333"/>
          <w:spacing w:val="0"/>
          <w:kern w:val="0"/>
          <w:sz w:val="28"/>
          <w:szCs w:val="28"/>
          <w:u w:val="none"/>
          <w:shd w:val="clear" w:color="auto" w:fill="FFFFFF"/>
          <w:lang w:eastAsia="zh-Hans" w:bidi="ar"/>
        </w:rPr>
        <w:t>，</w:t>
      </w:r>
      <w:r>
        <w:rPr>
          <w:rFonts w:hint="eastAsia" w:ascii="宋体" w:hAnsi="宋体" w:eastAsia="宋体" w:cs="宋体"/>
          <w:b w:val="0"/>
          <w:i w:val="0"/>
          <w:caps w:val="0"/>
          <w:color w:val="333333"/>
          <w:spacing w:val="0"/>
          <w:kern w:val="0"/>
          <w:sz w:val="28"/>
          <w:szCs w:val="28"/>
          <w:u w:val="none"/>
          <w:shd w:val="clear" w:color="auto" w:fill="FFFFFF"/>
          <w:lang w:val="en-US" w:eastAsia="zh-Hans" w:bidi="ar"/>
        </w:rPr>
        <w:t>霍山县人民政府拟采用第三方监测评估方式对霍山县人民政府门户网站</w:t>
      </w:r>
      <w:r>
        <w:rPr>
          <w:rFonts w:hint="default" w:ascii="宋体" w:hAnsi="宋体" w:eastAsia="宋体" w:cs="宋体"/>
          <w:b w:val="0"/>
          <w:i w:val="0"/>
          <w:caps w:val="0"/>
          <w:color w:val="333333"/>
          <w:spacing w:val="0"/>
          <w:kern w:val="0"/>
          <w:sz w:val="28"/>
          <w:szCs w:val="28"/>
          <w:u w:val="none"/>
          <w:shd w:val="clear" w:color="auto" w:fill="FFFFFF"/>
          <w:lang w:eastAsia="zh-Hans" w:bidi="ar"/>
        </w:rPr>
        <w:t>、</w:t>
      </w:r>
      <w:r>
        <w:rPr>
          <w:rFonts w:hint="eastAsia" w:ascii="宋体" w:hAnsi="宋体" w:eastAsia="宋体" w:cs="宋体"/>
          <w:b w:val="0"/>
          <w:i w:val="0"/>
          <w:caps w:val="0"/>
          <w:color w:val="333333"/>
          <w:spacing w:val="0"/>
          <w:kern w:val="0"/>
          <w:sz w:val="28"/>
          <w:szCs w:val="28"/>
          <w:u w:val="none"/>
          <w:shd w:val="clear" w:color="auto" w:fill="FFFFFF"/>
          <w:lang w:val="en-US" w:eastAsia="zh-Hans" w:bidi="ar"/>
        </w:rPr>
        <w:t>政务新媒体账号进行常态化监测、年度绩效评估等工作</w:t>
      </w:r>
      <w:r>
        <w:rPr>
          <w:rFonts w:hint="default" w:ascii="宋体" w:hAnsi="宋体" w:eastAsia="宋体" w:cs="宋体"/>
          <w:b w:val="0"/>
          <w:i w:val="0"/>
          <w:caps w:val="0"/>
          <w:color w:val="333333"/>
          <w:spacing w:val="0"/>
          <w:kern w:val="0"/>
          <w:sz w:val="28"/>
          <w:szCs w:val="28"/>
          <w:u w:val="none"/>
          <w:shd w:val="clear" w:color="auto" w:fill="FFFFFF"/>
          <w:lang w:eastAsia="zh-Hans" w:bidi="ar"/>
        </w:rPr>
        <w:t>。</w:t>
      </w:r>
    </w:p>
    <w:p>
      <w:pPr>
        <w:keepNext w:val="0"/>
        <w:keepLines w:val="0"/>
        <w:widowControl/>
        <w:numPr>
          <w:ilvl w:val="0"/>
          <w:numId w:val="2"/>
        </w:numPr>
        <w:suppressLineNumbers w:val="0"/>
        <w:ind w:left="0" w:leftChars="0" w:firstLine="400" w:firstLineChars="0"/>
        <w:jc w:val="left"/>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Hans" w:bidi="ar"/>
        </w:rPr>
        <w:t>服务清单</w:t>
      </w:r>
      <w:r>
        <w:rPr>
          <w:rFonts w:hint="default" w:ascii="宋体" w:hAnsi="宋体" w:eastAsia="宋体" w:cs="宋体"/>
          <w:b/>
          <w:color w:val="000000"/>
          <w:kern w:val="0"/>
          <w:sz w:val="32"/>
          <w:szCs w:val="32"/>
          <w:lang w:eastAsia="zh-Hans" w:bidi="ar"/>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989"/>
        <w:gridCol w:w="3974"/>
        <w:gridCol w:w="88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 w:type="dxa"/>
            <w:noWrap w:val="0"/>
            <w:vAlign w:val="center"/>
          </w:tcPr>
          <w:p>
            <w:pPr>
              <w:keepNext w:val="0"/>
              <w:keepLines w:val="0"/>
              <w:widowControl/>
              <w:numPr>
                <w:ilvl w:val="0"/>
                <w:numId w:val="0"/>
              </w:numPr>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b/>
                <w:color w:val="000000"/>
                <w:kern w:val="0"/>
                <w:sz w:val="24"/>
                <w:szCs w:val="24"/>
                <w:lang w:val="en-US" w:eastAsia="zh-CN" w:bidi="ar"/>
              </w:rPr>
              <w:t xml:space="preserve">序号 </w:t>
            </w:r>
            <w:r>
              <w:rPr>
                <w:rFonts w:ascii="宋体" w:hAnsi="宋体" w:eastAsia="宋体" w:cs="宋体"/>
                <w:b/>
                <w:color w:val="000000"/>
                <w:kern w:val="0"/>
                <w:sz w:val="24"/>
                <w:szCs w:val="24"/>
                <w:lang w:eastAsia="zh-CN" w:bidi="ar"/>
              </w:rPr>
              <w:t xml:space="preserve"> </w:t>
            </w:r>
          </w:p>
        </w:tc>
        <w:tc>
          <w:tcPr>
            <w:tcW w:w="1989" w:type="dxa"/>
            <w:noWrap w:val="0"/>
            <w:vAlign w:val="center"/>
          </w:tcPr>
          <w:p>
            <w:pPr>
              <w:keepNext w:val="0"/>
              <w:keepLines w:val="0"/>
              <w:widowControl/>
              <w:numPr>
                <w:ilvl w:val="0"/>
                <w:numId w:val="0"/>
              </w:numPr>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b/>
                <w:color w:val="000000"/>
                <w:kern w:val="0"/>
                <w:sz w:val="24"/>
                <w:szCs w:val="24"/>
                <w:lang w:eastAsia="zh-CN" w:bidi="ar"/>
              </w:rPr>
              <w:t xml:space="preserve"> </w:t>
            </w:r>
            <w:r>
              <w:rPr>
                <w:rFonts w:ascii="宋体" w:hAnsi="宋体" w:eastAsia="宋体" w:cs="宋体"/>
                <w:b/>
                <w:color w:val="000000"/>
                <w:kern w:val="0"/>
                <w:sz w:val="24"/>
                <w:szCs w:val="24"/>
                <w:lang w:val="en-US" w:eastAsia="zh-CN" w:bidi="ar"/>
              </w:rPr>
              <w:t>名称</w:t>
            </w:r>
            <w:r>
              <w:rPr>
                <w:rFonts w:ascii="宋体" w:hAnsi="宋体" w:eastAsia="宋体" w:cs="宋体"/>
                <w:b/>
                <w:color w:val="000000"/>
                <w:kern w:val="0"/>
                <w:sz w:val="24"/>
                <w:szCs w:val="24"/>
                <w:lang w:eastAsia="zh-CN" w:bidi="ar"/>
              </w:rPr>
              <w:t xml:space="preserve"> </w:t>
            </w:r>
          </w:p>
        </w:tc>
        <w:tc>
          <w:tcPr>
            <w:tcW w:w="3974" w:type="dxa"/>
            <w:noWrap w:val="0"/>
            <w:vAlign w:val="center"/>
          </w:tcPr>
          <w:p>
            <w:pPr>
              <w:keepNext w:val="0"/>
              <w:keepLines w:val="0"/>
              <w:widowControl/>
              <w:numPr>
                <w:ilvl w:val="0"/>
                <w:numId w:val="0"/>
              </w:numPr>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b/>
                <w:color w:val="000000"/>
                <w:kern w:val="0"/>
                <w:sz w:val="24"/>
                <w:szCs w:val="24"/>
                <w:lang w:eastAsia="zh-CN" w:bidi="ar"/>
              </w:rPr>
              <w:t xml:space="preserve"> </w:t>
            </w:r>
            <w:r>
              <w:rPr>
                <w:rFonts w:ascii="宋体" w:hAnsi="宋体" w:eastAsia="宋体" w:cs="宋体"/>
                <w:b/>
                <w:color w:val="000000"/>
                <w:kern w:val="0"/>
                <w:sz w:val="24"/>
                <w:szCs w:val="24"/>
                <w:lang w:val="en-US" w:eastAsia="zh-CN" w:bidi="ar"/>
              </w:rPr>
              <w:t xml:space="preserve"> 工作要求 </w:t>
            </w:r>
            <w:r>
              <w:rPr>
                <w:rFonts w:ascii="宋体" w:hAnsi="宋体" w:eastAsia="宋体" w:cs="宋体"/>
                <w:b/>
                <w:color w:val="000000"/>
                <w:kern w:val="0"/>
                <w:sz w:val="24"/>
                <w:szCs w:val="24"/>
                <w:lang w:eastAsia="zh-CN" w:bidi="ar"/>
              </w:rPr>
              <w:t xml:space="preserve"> </w:t>
            </w:r>
          </w:p>
        </w:tc>
        <w:tc>
          <w:tcPr>
            <w:tcW w:w="888" w:type="dxa"/>
            <w:noWrap w:val="0"/>
            <w:vAlign w:val="center"/>
          </w:tcPr>
          <w:p>
            <w:pPr>
              <w:keepNext w:val="0"/>
              <w:keepLines w:val="0"/>
              <w:widowControl/>
              <w:numPr>
                <w:ilvl w:val="0"/>
                <w:numId w:val="0"/>
              </w:numPr>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b/>
                <w:color w:val="000000"/>
                <w:kern w:val="0"/>
                <w:sz w:val="24"/>
                <w:szCs w:val="24"/>
                <w:lang w:eastAsia="zh-CN" w:bidi="ar"/>
              </w:rPr>
              <w:t xml:space="preserve"> </w:t>
            </w:r>
            <w:r>
              <w:rPr>
                <w:rFonts w:ascii="宋体" w:hAnsi="宋体" w:eastAsia="宋体" w:cs="宋体"/>
                <w:b/>
                <w:color w:val="000000"/>
                <w:kern w:val="0"/>
                <w:sz w:val="24"/>
                <w:szCs w:val="24"/>
                <w:lang w:val="en-US" w:eastAsia="zh-CN" w:bidi="ar"/>
              </w:rPr>
              <w:t xml:space="preserve">数量 </w:t>
            </w:r>
            <w:r>
              <w:rPr>
                <w:rFonts w:ascii="宋体" w:hAnsi="宋体" w:eastAsia="宋体" w:cs="宋体"/>
                <w:b/>
                <w:color w:val="000000"/>
                <w:kern w:val="0"/>
                <w:sz w:val="24"/>
                <w:szCs w:val="24"/>
                <w:lang w:eastAsia="zh-CN" w:bidi="ar"/>
              </w:rPr>
              <w:t xml:space="preserve"> </w:t>
            </w:r>
          </w:p>
        </w:tc>
        <w:tc>
          <w:tcPr>
            <w:tcW w:w="908" w:type="dxa"/>
            <w:noWrap w:val="0"/>
            <w:vAlign w:val="center"/>
          </w:tcPr>
          <w:p>
            <w:pPr>
              <w:keepNext w:val="0"/>
              <w:keepLines w:val="0"/>
              <w:widowControl/>
              <w:numPr>
                <w:ilvl w:val="0"/>
                <w:numId w:val="0"/>
              </w:numPr>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b/>
                <w:color w:val="000000"/>
                <w:kern w:val="0"/>
                <w:sz w:val="24"/>
                <w:szCs w:val="24"/>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widowControl/>
              <w:suppressLineNumbers w:val="0"/>
              <w:spacing w:line="360" w:lineRule="auto"/>
              <w:jc w:val="center"/>
              <w:rPr>
                <w:rFonts w:hint="default" w:ascii="宋体" w:hAnsi="宋体" w:eastAsia="宋体" w:cs="宋体"/>
                <w:color w:val="000000"/>
                <w:kern w:val="0"/>
                <w:sz w:val="24"/>
                <w:szCs w:val="24"/>
                <w:lang w:eastAsia="zh-Hans" w:bidi="ar"/>
              </w:rPr>
            </w:pPr>
            <w:r>
              <w:rPr>
                <w:rFonts w:hint="default" w:ascii="宋体" w:hAnsi="宋体" w:eastAsia="宋体" w:cs="宋体"/>
                <w:color w:val="000000"/>
                <w:kern w:val="0"/>
                <w:sz w:val="24"/>
                <w:szCs w:val="24"/>
                <w:lang w:eastAsia="zh-Hans" w:bidi="ar"/>
              </w:rPr>
              <w:t>1</w:t>
            </w:r>
          </w:p>
        </w:tc>
        <w:tc>
          <w:tcPr>
            <w:tcW w:w="1989" w:type="dxa"/>
            <w:noWrap w:val="0"/>
            <w:vAlign w:val="center"/>
          </w:tcPr>
          <w:p>
            <w:pPr>
              <w:keepNext w:val="0"/>
              <w:keepLines w:val="0"/>
              <w:widowControl/>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color w:val="000000"/>
                <w:kern w:val="0"/>
                <w:sz w:val="24"/>
                <w:szCs w:val="24"/>
                <w:lang w:val="en-US" w:eastAsia="zh-CN" w:bidi="ar"/>
              </w:rPr>
              <w:t xml:space="preserve">政府网站技术 （人工）常态 化监测 </w:t>
            </w:r>
          </w:p>
        </w:tc>
        <w:tc>
          <w:tcPr>
            <w:tcW w:w="3974" w:type="dxa"/>
            <w:noWrap w:val="0"/>
            <w:vAlign w:val="center"/>
          </w:tcPr>
          <w:p>
            <w:pPr>
              <w:keepNext w:val="0"/>
              <w:keepLines w:val="0"/>
              <w:widowControl/>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color w:val="000000"/>
                <w:kern w:val="0"/>
                <w:sz w:val="24"/>
                <w:szCs w:val="24"/>
                <w:lang w:val="en-US" w:eastAsia="zh-CN" w:bidi="ar"/>
              </w:rPr>
              <w:t>每月 15 日前，提供当月监测报告电子档</w:t>
            </w:r>
            <w:r>
              <w:rPr>
                <w:rFonts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Hans" w:bidi="ar"/>
              </w:rPr>
              <w:t>包括需单独体现县直部门</w:t>
            </w:r>
            <w:r>
              <w:rPr>
                <w:rFonts w:hint="default"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val="en-US" w:eastAsia="zh-Hans" w:bidi="ar"/>
              </w:rPr>
              <w:t>乡镇监测数据</w:t>
            </w:r>
            <w:r>
              <w:rPr>
                <w:rFonts w:hint="default" w:ascii="宋体" w:hAnsi="宋体" w:eastAsia="宋体" w:cs="宋体"/>
                <w:color w:val="000000"/>
                <w:kern w:val="0"/>
                <w:sz w:val="24"/>
                <w:szCs w:val="24"/>
                <w:lang w:eastAsia="zh-Hans" w:bidi="ar"/>
              </w:rPr>
              <w:t>；</w:t>
            </w:r>
          </w:p>
        </w:tc>
        <w:tc>
          <w:tcPr>
            <w:tcW w:w="888" w:type="dxa"/>
            <w:noWrap w:val="0"/>
            <w:vAlign w:val="center"/>
          </w:tcPr>
          <w:p>
            <w:pPr>
              <w:keepNext w:val="0"/>
              <w:keepLines w:val="0"/>
              <w:widowControl/>
              <w:suppressLineNumbers w:val="0"/>
              <w:spacing w:line="360" w:lineRule="auto"/>
              <w:jc w:val="both"/>
              <w:rPr>
                <w:rFonts w:hint="default" w:ascii="宋体" w:hAnsi="宋体" w:eastAsia="宋体" w:cs="宋体"/>
                <w:color w:val="000000"/>
                <w:kern w:val="0"/>
                <w:sz w:val="24"/>
                <w:szCs w:val="24"/>
                <w:lang w:eastAsia="zh-Hans" w:bidi="ar"/>
              </w:rPr>
            </w:pPr>
            <w:r>
              <w:rPr>
                <w:rFonts w:hint="default" w:ascii="宋体" w:hAnsi="宋体" w:eastAsia="宋体" w:cs="宋体"/>
                <w:color w:val="000000"/>
                <w:kern w:val="0"/>
                <w:sz w:val="24"/>
                <w:szCs w:val="24"/>
                <w:lang w:eastAsia="zh-Hans" w:bidi="ar"/>
              </w:rPr>
              <w:t>12</w:t>
            </w:r>
          </w:p>
        </w:tc>
        <w:tc>
          <w:tcPr>
            <w:tcW w:w="908" w:type="dxa"/>
            <w:noWrap w:val="0"/>
            <w:vAlign w:val="center"/>
          </w:tcPr>
          <w:p>
            <w:pPr>
              <w:keepNext w:val="0"/>
              <w:keepLines w:val="0"/>
              <w:widowControl/>
              <w:suppressLineNumbers w:val="0"/>
              <w:spacing w:line="360" w:lineRule="auto"/>
              <w:jc w:val="both"/>
              <w:rPr>
                <w:rFonts w:hint="default" w:ascii="宋体" w:hAnsi="宋体" w:eastAsia="宋体" w:cs="宋体"/>
                <w:color w:val="000000"/>
                <w:kern w:val="0"/>
                <w:sz w:val="24"/>
                <w:szCs w:val="24"/>
                <w:lang w:val="en-US" w:eastAsia="zh-Hans" w:bidi="ar"/>
              </w:rPr>
            </w:pPr>
            <w:r>
              <w:rPr>
                <w:rFonts w:hint="eastAsia" w:ascii="宋体" w:hAnsi="宋体" w:eastAsia="宋体" w:cs="宋体"/>
                <w:color w:val="000000"/>
                <w:kern w:val="0"/>
                <w:sz w:val="24"/>
                <w:szCs w:val="24"/>
                <w:lang w:val="en-US" w:eastAsia="zh-Hans"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63" w:type="dxa"/>
            <w:noWrap w:val="0"/>
            <w:vAlign w:val="center"/>
          </w:tcPr>
          <w:p>
            <w:pPr>
              <w:keepNext w:val="0"/>
              <w:keepLines w:val="0"/>
              <w:widowControl/>
              <w:suppressLineNumbers w:val="0"/>
              <w:spacing w:line="360" w:lineRule="auto"/>
              <w:jc w:val="center"/>
              <w:rPr>
                <w:rFonts w:hint="default" w:ascii="宋体" w:hAnsi="宋体" w:eastAsia="宋体" w:cs="宋体"/>
                <w:color w:val="000000"/>
                <w:kern w:val="0"/>
                <w:sz w:val="24"/>
                <w:szCs w:val="24"/>
                <w:lang w:eastAsia="zh-Hans" w:bidi="ar"/>
              </w:rPr>
            </w:pPr>
            <w:r>
              <w:rPr>
                <w:rFonts w:hint="default" w:ascii="宋体" w:hAnsi="宋体" w:eastAsia="宋体" w:cs="宋体"/>
                <w:color w:val="000000"/>
                <w:kern w:val="0"/>
                <w:sz w:val="24"/>
                <w:szCs w:val="24"/>
                <w:lang w:eastAsia="zh-Hans" w:bidi="ar"/>
              </w:rPr>
              <w:t>2</w:t>
            </w:r>
          </w:p>
        </w:tc>
        <w:tc>
          <w:tcPr>
            <w:tcW w:w="1989" w:type="dxa"/>
            <w:noWrap w:val="0"/>
            <w:vAlign w:val="center"/>
          </w:tcPr>
          <w:p>
            <w:pPr>
              <w:keepNext w:val="0"/>
              <w:keepLines w:val="0"/>
              <w:widowControl/>
              <w:suppressLineNumbers w:val="0"/>
              <w:spacing w:line="360" w:lineRule="auto"/>
              <w:jc w:val="both"/>
            </w:pPr>
            <w:r>
              <w:rPr>
                <w:rFonts w:ascii="宋体" w:hAnsi="宋体" w:eastAsia="宋体" w:cs="宋体"/>
                <w:color w:val="000000"/>
                <w:kern w:val="0"/>
                <w:sz w:val="24"/>
                <w:szCs w:val="24"/>
                <w:lang w:val="en-US" w:eastAsia="zh-CN" w:bidi="ar"/>
              </w:rPr>
              <w:t xml:space="preserve">政务新媒体常 </w:t>
            </w:r>
          </w:p>
          <w:p>
            <w:pPr>
              <w:keepNext w:val="0"/>
              <w:keepLines w:val="0"/>
              <w:widowControl/>
              <w:suppressLineNumbers w:val="0"/>
              <w:spacing w:line="360" w:lineRule="auto"/>
              <w:jc w:val="both"/>
              <w:rPr>
                <w:rFonts w:hint="default" w:ascii="宋体" w:hAnsi="宋体" w:eastAsia="宋体" w:cs="宋体"/>
                <w:color w:val="000000"/>
                <w:kern w:val="0"/>
                <w:sz w:val="24"/>
                <w:szCs w:val="24"/>
                <w:lang w:eastAsia="zh-Hans" w:bidi="ar"/>
              </w:rPr>
            </w:pPr>
            <w:r>
              <w:rPr>
                <w:rFonts w:ascii="宋体" w:hAnsi="宋体" w:eastAsia="宋体" w:cs="宋体"/>
                <w:color w:val="000000"/>
                <w:kern w:val="0"/>
                <w:sz w:val="24"/>
                <w:szCs w:val="24"/>
                <w:lang w:val="en-US" w:eastAsia="zh-CN" w:bidi="ar"/>
              </w:rPr>
              <w:t>态化监测</w:t>
            </w:r>
          </w:p>
        </w:tc>
        <w:tc>
          <w:tcPr>
            <w:tcW w:w="3974" w:type="dxa"/>
            <w:noWrap w:val="0"/>
            <w:vAlign w:val="center"/>
          </w:tcPr>
          <w:p>
            <w:pPr>
              <w:keepNext w:val="0"/>
              <w:keepLines w:val="0"/>
              <w:widowControl/>
              <w:suppressLineNumbers w:val="0"/>
              <w:spacing w:line="360" w:lineRule="auto"/>
              <w:jc w:val="both"/>
              <w:rPr>
                <w:rFonts w:hint="default" w:ascii="宋体" w:hAnsi="宋体" w:eastAsia="宋体" w:cs="宋体"/>
                <w:color w:val="000000"/>
                <w:kern w:val="0"/>
                <w:sz w:val="24"/>
                <w:szCs w:val="24"/>
                <w:lang w:eastAsia="zh-Hans" w:bidi="ar"/>
              </w:rPr>
            </w:pPr>
            <w:r>
              <w:rPr>
                <w:rFonts w:hint="default" w:ascii="宋体" w:hAnsi="宋体" w:eastAsia="宋体" w:cs="宋体"/>
                <w:color w:val="000000"/>
                <w:kern w:val="0"/>
                <w:sz w:val="24"/>
                <w:szCs w:val="24"/>
                <w:lang w:eastAsia="zh-Hans" w:bidi="ar"/>
              </w:rPr>
              <w:t>每月 15 日前，提供当月监测报告电子档；</w:t>
            </w:r>
          </w:p>
        </w:tc>
        <w:tc>
          <w:tcPr>
            <w:tcW w:w="888" w:type="dxa"/>
            <w:noWrap w:val="0"/>
            <w:vAlign w:val="center"/>
          </w:tcPr>
          <w:p>
            <w:pPr>
              <w:keepNext w:val="0"/>
              <w:keepLines w:val="0"/>
              <w:widowControl/>
              <w:suppressLineNumbers w:val="0"/>
              <w:spacing w:line="360" w:lineRule="auto"/>
              <w:jc w:val="both"/>
              <w:rPr>
                <w:rFonts w:hint="default" w:ascii="宋体" w:hAnsi="宋体" w:eastAsia="宋体" w:cs="宋体"/>
                <w:color w:val="000000"/>
                <w:kern w:val="0"/>
                <w:sz w:val="24"/>
                <w:szCs w:val="24"/>
                <w:lang w:eastAsia="zh-Hans" w:bidi="ar"/>
              </w:rPr>
            </w:pPr>
            <w:r>
              <w:rPr>
                <w:rFonts w:hint="default" w:ascii="宋体" w:hAnsi="宋体" w:eastAsia="宋体" w:cs="宋体"/>
                <w:color w:val="000000"/>
                <w:kern w:val="0"/>
                <w:sz w:val="24"/>
                <w:szCs w:val="24"/>
                <w:lang w:eastAsia="zh-Hans" w:bidi="ar"/>
              </w:rPr>
              <w:t>12</w:t>
            </w:r>
          </w:p>
        </w:tc>
        <w:tc>
          <w:tcPr>
            <w:tcW w:w="908" w:type="dxa"/>
            <w:noWrap w:val="0"/>
            <w:vAlign w:val="center"/>
          </w:tcPr>
          <w:p>
            <w:pPr>
              <w:keepNext w:val="0"/>
              <w:keepLines w:val="0"/>
              <w:widowControl/>
              <w:suppressLineNumbers w:val="0"/>
              <w:spacing w:line="360" w:lineRule="auto"/>
              <w:jc w:val="both"/>
              <w:rPr>
                <w:rFonts w:hint="default" w:ascii="宋体" w:hAnsi="宋体" w:eastAsia="宋体" w:cs="宋体"/>
                <w:color w:val="000000"/>
                <w:kern w:val="0"/>
                <w:sz w:val="24"/>
                <w:szCs w:val="24"/>
                <w:lang w:val="en-US" w:eastAsia="zh-Hans" w:bidi="ar"/>
              </w:rPr>
            </w:pPr>
            <w:r>
              <w:rPr>
                <w:rFonts w:hint="eastAsia" w:ascii="宋体" w:hAnsi="宋体" w:eastAsia="宋体" w:cs="宋体"/>
                <w:color w:val="000000"/>
                <w:kern w:val="0"/>
                <w:sz w:val="24"/>
                <w:szCs w:val="24"/>
                <w:lang w:val="en-US" w:eastAsia="zh-Hans"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widowControl/>
              <w:suppressLineNumbers w:val="0"/>
              <w:spacing w:line="360" w:lineRule="auto"/>
              <w:jc w:val="center"/>
              <w:rPr>
                <w:rFonts w:hint="default" w:ascii="宋体" w:hAnsi="宋体" w:eastAsia="宋体" w:cs="宋体"/>
                <w:color w:val="000000"/>
                <w:kern w:val="0"/>
                <w:sz w:val="24"/>
                <w:szCs w:val="24"/>
                <w:lang w:eastAsia="zh-Hans" w:bidi="ar"/>
              </w:rPr>
            </w:pPr>
            <w:r>
              <w:rPr>
                <w:rFonts w:hint="default" w:ascii="宋体" w:hAnsi="宋体" w:eastAsia="宋体" w:cs="宋体"/>
                <w:color w:val="000000"/>
                <w:kern w:val="0"/>
                <w:sz w:val="24"/>
                <w:szCs w:val="24"/>
                <w:lang w:eastAsia="zh-Hans" w:bidi="ar"/>
              </w:rPr>
              <w:t>3</w:t>
            </w:r>
          </w:p>
        </w:tc>
        <w:tc>
          <w:tcPr>
            <w:tcW w:w="1989" w:type="dxa"/>
            <w:noWrap w:val="0"/>
            <w:vAlign w:val="center"/>
          </w:tcPr>
          <w:p>
            <w:pPr>
              <w:keepNext w:val="0"/>
              <w:keepLines w:val="0"/>
              <w:widowControl/>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color w:val="000000"/>
                <w:kern w:val="0"/>
                <w:sz w:val="24"/>
                <w:szCs w:val="24"/>
                <w:lang w:val="en-US" w:eastAsia="zh-CN" w:bidi="ar"/>
              </w:rPr>
              <w:t xml:space="preserve">年度绩效评估 </w:t>
            </w:r>
          </w:p>
        </w:tc>
        <w:tc>
          <w:tcPr>
            <w:tcW w:w="3974" w:type="dxa"/>
            <w:noWrap w:val="0"/>
            <w:vAlign w:val="center"/>
          </w:tcPr>
          <w:p>
            <w:pPr>
              <w:keepNext w:val="0"/>
              <w:keepLines w:val="0"/>
              <w:widowControl/>
              <w:suppressLineNumbers w:val="0"/>
              <w:spacing w:line="360" w:lineRule="auto"/>
              <w:jc w:val="both"/>
              <w:rPr>
                <w:rFonts w:hint="default" w:ascii="宋体" w:hAnsi="宋体" w:eastAsia="宋体" w:cs="宋体"/>
                <w:b/>
                <w:color w:val="000000"/>
                <w:kern w:val="0"/>
                <w:sz w:val="32"/>
                <w:szCs w:val="32"/>
                <w:vertAlign w:val="baseline"/>
                <w:lang w:eastAsia="zh-Hans" w:bidi="ar"/>
              </w:rPr>
            </w:pPr>
            <w:r>
              <w:rPr>
                <w:rFonts w:ascii="宋体" w:hAnsi="宋体" w:eastAsia="宋体" w:cs="宋体"/>
                <w:color w:val="000000"/>
                <w:kern w:val="0"/>
                <w:sz w:val="24"/>
                <w:szCs w:val="24"/>
                <w:lang w:val="en-US" w:eastAsia="zh-CN" w:bidi="ar"/>
              </w:rPr>
              <w:t>每年末，提供当年绩效评估报告（纸质、 电子档）</w:t>
            </w:r>
          </w:p>
        </w:tc>
        <w:tc>
          <w:tcPr>
            <w:tcW w:w="888" w:type="dxa"/>
            <w:noWrap w:val="0"/>
            <w:vAlign w:val="center"/>
          </w:tcPr>
          <w:p>
            <w:pPr>
              <w:keepNext w:val="0"/>
              <w:keepLines w:val="0"/>
              <w:widowControl/>
              <w:suppressLineNumbers w:val="0"/>
              <w:spacing w:line="360" w:lineRule="auto"/>
              <w:jc w:val="both"/>
              <w:rPr>
                <w:rFonts w:hint="default" w:ascii="宋体" w:hAnsi="宋体" w:eastAsia="宋体" w:cs="宋体"/>
                <w:color w:val="000000"/>
                <w:kern w:val="0"/>
                <w:sz w:val="24"/>
                <w:szCs w:val="24"/>
                <w:lang w:eastAsia="zh-Hans" w:bidi="ar"/>
              </w:rPr>
            </w:pPr>
            <w:r>
              <w:rPr>
                <w:rFonts w:hint="default" w:ascii="宋体" w:hAnsi="宋体" w:eastAsia="宋体" w:cs="宋体"/>
                <w:color w:val="000000"/>
                <w:kern w:val="0"/>
                <w:sz w:val="24"/>
                <w:szCs w:val="24"/>
                <w:lang w:eastAsia="zh-Hans" w:bidi="ar"/>
              </w:rPr>
              <w:t>1</w:t>
            </w:r>
          </w:p>
        </w:tc>
        <w:tc>
          <w:tcPr>
            <w:tcW w:w="908" w:type="dxa"/>
            <w:noWrap w:val="0"/>
            <w:vAlign w:val="center"/>
          </w:tcPr>
          <w:p>
            <w:pPr>
              <w:keepNext w:val="0"/>
              <w:keepLines w:val="0"/>
              <w:widowControl/>
              <w:suppressLineNumbers w:val="0"/>
              <w:spacing w:line="360" w:lineRule="auto"/>
              <w:jc w:val="both"/>
              <w:rPr>
                <w:rFonts w:hint="default" w:ascii="宋体" w:hAnsi="宋体" w:eastAsia="宋体" w:cs="宋体"/>
                <w:color w:val="000000"/>
                <w:kern w:val="0"/>
                <w:sz w:val="24"/>
                <w:szCs w:val="24"/>
                <w:lang w:val="en-US" w:eastAsia="zh-Hans" w:bidi="ar"/>
              </w:rPr>
            </w:pPr>
            <w:r>
              <w:rPr>
                <w:rFonts w:hint="eastAsia" w:ascii="宋体" w:hAnsi="宋体" w:eastAsia="宋体" w:cs="宋体"/>
                <w:color w:val="000000"/>
                <w:kern w:val="0"/>
                <w:sz w:val="24"/>
                <w:szCs w:val="24"/>
                <w:lang w:val="en-US" w:eastAsia="zh-Hans" w:bidi="ar"/>
              </w:rPr>
              <w:t>次</w:t>
            </w:r>
          </w:p>
        </w:tc>
      </w:tr>
    </w:tbl>
    <w:p>
      <w:pPr>
        <w:keepNext w:val="0"/>
        <w:keepLines w:val="0"/>
        <w:widowControl/>
        <w:suppressLineNumbers w:val="0"/>
        <w:ind w:firstLine="640" w:firstLineChars="200"/>
        <w:jc w:val="left"/>
        <w:rPr>
          <w:rFonts w:hint="default" w:ascii="宋体" w:hAnsi="宋体" w:eastAsia="宋体" w:cs="宋体"/>
          <w:color w:val="auto"/>
          <w:kern w:val="2"/>
          <w:sz w:val="32"/>
          <w:szCs w:val="32"/>
          <w:lang w:val="en-US" w:eastAsia="zh-CN" w:bidi="zh-CN"/>
        </w:rPr>
      </w:pPr>
      <w:r>
        <w:rPr>
          <w:rFonts w:hint="eastAsia" w:ascii="宋体" w:hAnsi="宋体" w:eastAsia="宋体" w:cs="宋体"/>
          <w:color w:val="auto"/>
          <w:kern w:val="2"/>
          <w:sz w:val="32"/>
          <w:szCs w:val="32"/>
          <w:lang w:val="en-US" w:eastAsia="zh-CN" w:bidi="zh-CN"/>
        </w:rPr>
        <w:t xml:space="preserve">    </w:t>
      </w:r>
    </w:p>
    <w:p>
      <w:pPr>
        <w:keepNext w:val="0"/>
        <w:keepLines w:val="0"/>
        <w:widowControl/>
        <w:suppressLineNumbers w:val="0"/>
        <w:ind w:firstLine="640" w:firstLineChars="200"/>
        <w:jc w:val="left"/>
        <w:rPr>
          <w:rFonts w:hint="default" w:ascii="宋体" w:hAnsi="宋体" w:eastAsia="宋体" w:cs="宋体"/>
          <w:color w:val="auto"/>
          <w:kern w:val="2"/>
          <w:sz w:val="32"/>
          <w:szCs w:val="32"/>
          <w:lang w:val="en-US" w:eastAsia="zh-CN" w:bidi="zh-CN"/>
        </w:rPr>
      </w:pPr>
    </w:p>
    <w:p>
      <w:pPr>
        <w:rPr>
          <w:rFonts w:hint="eastAsia"/>
          <w:highlight w:val="none"/>
          <w:lang w:val="en-US" w:eastAsia="zh-CN"/>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148501698"/>
      <w:bookmarkStart w:id="59" w:name="_Toc3858_WPSOffice_Level1"/>
      <w:bookmarkStart w:id="60" w:name="_Toc5169690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17045478"/>
      <w:bookmarkStart w:id="62" w:name="_Toc471299106"/>
      <w:bookmarkStart w:id="63" w:name="_Toc30711"/>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E3E20"/>
    <w:multiLevelType w:val="multilevel"/>
    <w:tmpl w:val="619E3E2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2021-11-25T06:28:17Z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83CF88A9210749FCA218DD0C051CCD1D</vt:lpwstr>
  </property>
</Properties>
</file>