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highlight w:val="none"/>
          <w:lang w:val="en-US" w:eastAsia="zh-CN"/>
        </w:rPr>
      </w:pPr>
    </w:p>
    <w:p>
      <w:pPr>
        <w:pStyle w:val="2"/>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霍山县诸佛庵镇中心卫生院五分类血球仪采购项目询价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(货物类)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7"/>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霍山县诸佛庵镇中心卫生院五分类血球仪采购项目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HSYD-2021-154</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霍山县诸佛庵镇中心卫生院</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二一</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7"/>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霍山县诸佛庵镇中心卫生院五分类血球仪采购项目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霍山县诸佛庵镇中心卫生院五分类血球仪采购项目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霍山县诸佛庵镇中心卫生院</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霍山县诸佛庵镇中心卫生院五分类血球仪采购项目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安徽雷迪生物科技有限公司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安徽赛百优生物科技有限公司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合肥杰搏医疗器械有限责任公司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霍山县诸佛庵镇中心卫生院五分类血球仪采购项目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HSYD-2021-154</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自筹资金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6、采购数量：1台</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180000.00元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8、项目最高限价：180000.00元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9</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供货期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10天</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10、项目概况：</w:t>
      </w:r>
      <w:r>
        <w:rPr>
          <w:rFonts w:hint="eastAsia" w:ascii="宋体" w:hAnsi="宋体" w:cs="宋体"/>
          <w:i w:val="0"/>
          <w:caps w:val="0"/>
          <w:color w:val="auto"/>
          <w:spacing w:val="0"/>
          <w:sz w:val="21"/>
          <w:szCs w:val="21"/>
          <w:highlight w:val="none"/>
          <w:shd w:val="clear" w:color="auto" w:fill="FFFFFF"/>
          <w:lang w:eastAsia="zh-CN"/>
        </w:rPr>
        <w:t>霍山县诸佛庵镇中心卫生院五分类血球仪采购项目，具体工作内容详见采购文件和采购需求清单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须持有</w:t>
      </w:r>
      <w:r>
        <w:rPr>
          <w:rFonts w:hint="eastAsia" w:ascii="宋体" w:hAnsi="宋体" w:cs="宋体"/>
          <w:b w:val="0"/>
          <w:bCs/>
          <w:i w:val="0"/>
          <w:caps w:val="0"/>
          <w:color w:val="auto"/>
          <w:spacing w:val="0"/>
          <w:sz w:val="21"/>
          <w:szCs w:val="21"/>
          <w:highlight w:val="none"/>
          <w:shd w:val="clear" w:color="auto" w:fill="FFFFFF"/>
          <w:lang w:eastAsia="zh-CN"/>
        </w:rPr>
        <w:t>二类医疗器械备案凭证或医疗器械经营许可证；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12月2日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2021年</w:t>
      </w:r>
      <w:r>
        <w:rPr>
          <w:rFonts w:hint="eastAsia" w:ascii="宋体" w:hAnsi="宋体" w:cs="宋体"/>
          <w:i w:val="0"/>
          <w:caps w:val="0"/>
          <w:color w:val="auto"/>
          <w:spacing w:val="0"/>
          <w:sz w:val="21"/>
          <w:szCs w:val="21"/>
          <w:highlight w:val="none"/>
          <w:shd w:val="clear" w:color="auto" w:fill="FFFFFF"/>
          <w:lang w:val="en-US" w:eastAsia="zh-CN"/>
        </w:rPr>
        <w:t>12</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16</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2021年</w:t>
      </w:r>
      <w:r>
        <w:rPr>
          <w:rFonts w:hint="eastAsia" w:ascii="宋体" w:hAnsi="宋体" w:cs="宋体"/>
          <w:i w:val="0"/>
          <w:caps w:val="0"/>
          <w:color w:val="auto"/>
          <w:spacing w:val="0"/>
          <w:sz w:val="21"/>
          <w:szCs w:val="21"/>
          <w:highlight w:val="none"/>
          <w:u w:val="single"/>
          <w:shd w:val="clear" w:color="auto" w:fill="FFFFFF"/>
          <w:lang w:val="en-US" w:eastAsia="zh-CN"/>
        </w:rPr>
        <w:t>12</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7</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16</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霍山县诸佛庵镇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杨先生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13470883806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12月2日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霍山县诸佛庵镇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杨</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13470883806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霍山县诸佛庵镇中心卫生院五分类血球仪采购项目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壹拾捌万元整（￥180000</w:t>
            </w:r>
            <w:r>
              <w:rPr>
                <w:rFonts w:hint="eastAsia" w:cs="宋体"/>
                <w:i w:val="0"/>
                <w:caps w:val="0"/>
                <w:color w:val="auto"/>
                <w:spacing w:val="0"/>
                <w:sz w:val="21"/>
                <w:szCs w:val="21"/>
                <w:highlight w:val="none"/>
                <w:u w:val="single"/>
                <w:shd w:val="clear" w:color="auto" w:fill="FFFFFF"/>
                <w:lang w:val="en-US" w:eastAsia="zh-CN"/>
              </w:rPr>
              <w:t>.00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设备安装完成试用一个月，无质量问题付合同价款的90%，余款10%一年后无质量问题一次性无息付清。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供货期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10天</w:t>
            </w:r>
            <w:bookmarkStart w:id="80" w:name="_GoBack"/>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12</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7</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16</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363199266"/>
      <w:bookmarkStart w:id="14" w:name="_Toc216158625"/>
      <w:bookmarkStart w:id="15" w:name="_Toc438648662"/>
      <w:bookmarkStart w:id="16" w:name="_Toc12806"/>
      <w:r>
        <w:rPr>
          <w:rFonts w:hint="eastAsia"/>
          <w:color w:val="auto"/>
          <w:sz w:val="24"/>
          <w:szCs w:val="24"/>
          <w:highlight w:val="none"/>
          <w:lang w:eastAsia="zh-CN"/>
        </w:rPr>
        <w:t>详见询价公告</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霍山县诸佛庵镇中心卫生院</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霍山县诸佛庵镇中心卫生院</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8300_WPSOffice_Level1"/>
      <w:bookmarkStart w:id="32" w:name="_Toc25805"/>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spacing w:line="400" w:lineRule="exact"/>
        <w:jc w:val="center"/>
        <w:rPr>
          <w:rFonts w:asciiTheme="minorEastAsia" w:hAnsiTheme="minorEastAsia" w:eastAsiaTheme="minorEastAsia" w:cstheme="minorEastAsia"/>
          <w:b/>
          <w:sz w:val="24"/>
          <w:szCs w:val="24"/>
        </w:rPr>
      </w:pPr>
      <w:bookmarkStart w:id="36" w:name="_Toc4288_WPSOffice_Level1"/>
      <w:bookmarkStart w:id="37" w:name="_Toc11297"/>
      <w:r>
        <w:rPr>
          <w:rFonts w:hint="eastAsia" w:asciiTheme="minorEastAsia" w:hAnsiTheme="minorEastAsia" w:eastAsiaTheme="minorEastAsia" w:cstheme="minorEastAsia"/>
          <w:b/>
          <w:sz w:val="24"/>
          <w:szCs w:val="24"/>
        </w:rPr>
        <w:t>全自动五分类血液细胞分析仪技术参数要求</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检测原理：半导体激光、流式细胞技术结合恒温细胞化学染色实现五分类，采用乳胶增强免疫比浊法检测 C-反应蛋白（CRP）</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★2、细胞染色：对白细胞进行特异性化学染色，支持CRP 测量功能，CRP 量程 0.2-320mg/L, 测量误差最小≤0.1mg/L；</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注：响应文件中须提供第三方权威机构出具的检测报告扫描件或产品彩页</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3、检测速度：≥60 个样本/小时</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★4、检测参数：可报告参数≥25 项，研究性参数≥5 项，散点图≤1 个，直方图≥3 个</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注：响应文件中须提供第三方权威机构出具的检测报告扫描件或产品彩页</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5、白细胞分类通道：≥2 个，应具备独立的嗜酸性粒细胞和嗜碱性粒细胞检测通道</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★6、CRP 检测能够自动调用血常规结果，修正因血细胞体积占比（白细胞压积+红细胞压积+血小板压积） 导致的 CRP 结果偏差，使得 CRP 检测结果更加准确； 注：响应文件中须提供第三方权威机构出具的检测报告扫描件或产品彩页</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7、样本用量：开放全血≤20ul，预稀释血≤20ul 可进行白细胞五分类计数，DIFF+CRP 模式用血量≤35ul。</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★8、样本可以自动进样，穿刺进样：为避免生物传染性危险，样本针可穿刺真空采血管吸取血样，无需手工开盖。</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注：响应文件中须提供产品彩页或产品说明书扫描件或影印件。</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9、预稀释模式：仪器内置稀释器，具末梢血可重复测定一次</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10、资料存储：≥80000 份（包括所有信息）并可无限扩存</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11、样本架：5 个；容量≥40 个样本</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12、参考值组别：≥5 个已定组别，≥5 个自定义组别</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★13、重复性：WBC≤1.6%；RBC≤1.2%;HGB≤1.5%;PLT≤2.5%；</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注：响应文件中须提供第三方权威机构出具的检测报告扫描件</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14、WBC 线性范围：0~400×109/L</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★15、PLT 线性范围：0~5000×109/L；</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注：响应文件中须提供第三方权威机构出具的检测报告扫描件或产品彩页。</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16、供货时提供血液细胞分析仪器厂家生产并通过SFDA 注册的配套校准物、质控物，并提供注册证，保证设备的准确性</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★17、反应恒温技术：可进行 0.1℃微量反应温度精准调节，保证测量不受环境温度影响</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注：响应文件中须提供第三方权威机构出具的检测报告或产品彩页或技术说明书扫描件。</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★18、为保障检测结果准确性，投标设备系列产品参加省级及以上临检中心质评合格并提供证明文件</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19、电源要求：100-240V～50/60Hz。</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★20、供应商具有中国合格评定国家认可委员会认可的配套血液学标准化实验室证书，可有效保证校准品的溯源性；</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注：响应文件中须提供证书扫描件或影印件。</w:t>
      </w:r>
    </w:p>
    <w:p>
      <w:pPr>
        <w:pStyle w:val="2"/>
        <w:ind w:left="0" w:leftChars="0" w:firstLine="0" w:firstLineChars="0"/>
      </w:pPr>
      <w:r>
        <w:rPr>
          <w:rFonts w:hint="eastAsia" w:asciiTheme="minorEastAsia" w:hAnsiTheme="minorEastAsia" w:eastAsiaTheme="minorEastAsia" w:cstheme="minorEastAsia"/>
          <w:sz w:val="24"/>
          <w:szCs w:val="24"/>
        </w:rPr>
        <w:t>★ 21 、校准品具有溯源性报告， 溯源性报告符合ISO/IEC-17025、ISO 15195 和 ISO 17511 要求，响应文件中须提供溯源性报告扫描件。</w:t>
      </w: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jc w:val="center"/>
        <w:rPr>
          <w:rFonts w:hint="eastAsia" w:asciiTheme="minorEastAsia" w:hAnsiTheme="minorEastAsia" w:eastAsiaTheme="minorEastAsia" w:cstheme="minorEastAsia"/>
          <w:sz w:val="24"/>
          <w:szCs w:val="24"/>
        </w:rPr>
      </w:pP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Theme="minorEastAsia" w:hAnsiTheme="minorEastAsia" w:eastAsiaTheme="minorEastAsia" w:cstheme="minorEastAsia"/>
          <w:sz w:val="24"/>
          <w:szCs w:val="24"/>
        </w:rPr>
      </w:pPr>
    </w:p>
    <w:p>
      <w:pPr>
        <w:pStyle w:val="7"/>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3"/>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2"/>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516969098"/>
      <w:bookmarkStart w:id="60" w:name="_Toc1485016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30711"/>
      <w:bookmarkStart w:id="62" w:name="_Toc417045478"/>
      <w:bookmarkStart w:id="63" w:name="_Toc471299106"/>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8"/>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27567"/>
      <w:bookmarkStart w:id="71" w:name="_Toc471299110"/>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2"/>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供货期限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2"/>
        <w:rPr>
          <w:rFonts w:hint="eastAsia"/>
          <w:highlight w:val="none"/>
          <w:lang w:eastAsia="zh-CN"/>
        </w:rPr>
      </w:pP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2"/>
        <w:rPr>
          <w:rFonts w:hint="eastAsia" w:ascii="宋体" w:hAnsi="宋体" w:cs="宋体"/>
          <w:b/>
          <w:bCs/>
          <w:color w:val="auto"/>
          <w:sz w:val="24"/>
          <w:szCs w:val="24"/>
          <w:highlight w:val="none"/>
        </w:rPr>
      </w:pPr>
      <w:bookmarkStart w:id="78" w:name="_Toc16902_WPSOffice_Level1"/>
    </w:p>
    <w:p>
      <w:pPr>
        <w:pStyle w:val="2"/>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4"/>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F294"/>
    <w:multiLevelType w:val="singleLevel"/>
    <w:tmpl w:val="6694F2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7">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8">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9">
    <w:name w:val="Normal Indent"/>
    <w:basedOn w:val="1"/>
    <w:qFormat/>
    <w:uiPriority w:val="0"/>
    <w:pPr>
      <w:autoSpaceDE/>
      <w:autoSpaceDN/>
      <w:adjustRightInd/>
      <w:ind w:firstLine="420"/>
    </w:pPr>
    <w:rPr>
      <w:color w:val="auto"/>
      <w:kern w:val="2"/>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0"/>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7"/>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8"/>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2021-12-02T07:04:52Z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83CF88A9210749FCA218DD0C051CCD1D</vt:lpwstr>
  </property>
</Properties>
</file>