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highlight w:val="none"/>
          <w:lang w:val="en-US" w:eastAsia="zh-CN"/>
        </w:rPr>
      </w:pPr>
    </w:p>
    <w:p>
      <w:pPr>
        <w:pStyle w:val="2"/>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霍山县2022年度生产建设项目水土保持方案技术评审服务询价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9"/>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19"/>
        <w:jc w:val="center"/>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both"/>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霍山县2022年度生产建设项目水土保持方案技术评审服务</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HSYD-2022-002</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霍山县水务局</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二二</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一月</w:t>
      </w: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bookmarkStart w:id="0" w:name="_Toc11428_WPSOffice_Type1"/>
      <w:bookmarkStart w:id="1" w:name="_Toc216158623"/>
      <w:bookmarkStart w:id="2" w:name="_Toc363199264"/>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8"/>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8"/>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cs="宋体"/>
          <w:b/>
          <w:bCs/>
          <w:color w:val="000000"/>
          <w:szCs w:val="21"/>
          <w:highlight w:val="none"/>
          <w:lang w:eastAsia="zh-CN"/>
        </w:rPr>
        <w:t>为霍山永达工程咨询有限公司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9"/>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7"/>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b/>
          <w:bCs/>
          <w:color w:val="auto"/>
          <w:kern w:val="0"/>
          <w:sz w:val="30"/>
          <w:szCs w:val="30"/>
          <w:highlight w:val="none"/>
          <w:lang w:val="en-US" w:eastAsia="zh-CN" w:bidi="ar-SA"/>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霍山县2022年度生产建设项目水土保持方案技术评审服务</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hint="eastAsia" w:ascii="宋体" w:hAnsi="宋体" w:eastAsia="宋体" w:cs="宋体"/>
          <w:b/>
          <w:bCs/>
          <w:color w:val="auto"/>
          <w:kern w:val="0"/>
          <w:sz w:val="30"/>
          <w:szCs w:val="30"/>
          <w:highlight w:val="none"/>
          <w:lang w:val="en-US" w:eastAsia="zh-CN" w:bidi="ar-SA"/>
        </w:rPr>
        <w:t>询价公告</w:t>
      </w:r>
      <w:bookmarkEnd w:id="6"/>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霍山县2022年度生产建设项目水土保持方案技术评审服务</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参照霍山县政府采购文件[霍采购（2020）18号文]，</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霍山县水务局</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霍山县2022年度生产建设项目水土保持方案技术评审服务</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洛阳水利勘测设计有限责任公司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安徽山河水利规划设计有限公司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安徽济淮水利规划设计有限公司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霍山县2022年度生产建设项目水土保持方案技术评审服务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HSYD-2022-002</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w:t>
      </w:r>
      <w:r>
        <w:rPr>
          <w:rFonts w:hint="eastAsia" w:ascii="宋体" w:hAnsi="宋体" w:eastAsia="宋体" w:cs="宋体"/>
          <w:i w:val="0"/>
          <w:caps w:val="0"/>
          <w:color w:val="auto"/>
          <w:spacing w:val="0"/>
          <w:sz w:val="21"/>
          <w:szCs w:val="21"/>
          <w:highlight w:val="none"/>
          <w:shd w:val="clear" w:color="auto" w:fill="FFFFFF"/>
        </w:rPr>
        <w:t>类</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霍山县水务局</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财政资金</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eastAsia="宋体" w:cs="宋体"/>
          <w:i w:val="0"/>
          <w:caps w:val="0"/>
          <w:color w:val="auto"/>
          <w:spacing w:val="0"/>
          <w:sz w:val="21"/>
          <w:szCs w:val="21"/>
          <w:highlight w:val="none"/>
          <w:shd w:val="clear" w:color="auto" w:fill="FFFFFF"/>
        </w:rPr>
        <w:t>6、项目预算：</w:t>
      </w:r>
      <w:r>
        <w:rPr>
          <w:rFonts w:hint="eastAsia" w:ascii="宋体" w:hAnsi="宋体" w:cs="宋体"/>
          <w:i w:val="0"/>
          <w:caps w:val="0"/>
          <w:color w:val="auto"/>
          <w:spacing w:val="0"/>
          <w:sz w:val="21"/>
          <w:szCs w:val="21"/>
          <w:highlight w:val="yellow"/>
          <w:shd w:val="clear" w:color="auto" w:fill="FFFFFF"/>
          <w:lang w:val="en-US" w:eastAsia="zh-CN"/>
        </w:rPr>
        <w:t>295000.00元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w:t>
      </w:r>
      <w:r>
        <w:rPr>
          <w:rFonts w:hint="eastAsia" w:ascii="宋体" w:hAnsi="宋体" w:cs="宋体"/>
          <w:i w:val="0"/>
          <w:caps w:val="0"/>
          <w:color w:val="auto"/>
          <w:spacing w:val="0"/>
          <w:sz w:val="21"/>
          <w:szCs w:val="21"/>
          <w:highlight w:val="yellow"/>
          <w:shd w:val="clear" w:color="auto" w:fill="FFFFFF"/>
          <w:lang w:val="en-US" w:eastAsia="zh-CN"/>
        </w:rPr>
        <w:t>295000.00元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r>
        <w:rPr>
          <w:rFonts w:hint="eastAsia" w:ascii="宋体" w:hAnsi="宋体"/>
          <w:color w:val="000000"/>
          <w:sz w:val="21"/>
          <w:szCs w:val="21"/>
          <w:highlight w:val="none"/>
        </w:rPr>
        <w:t>：</w:t>
      </w:r>
      <w:r>
        <w:rPr>
          <w:rFonts w:hint="eastAsia" w:ascii="宋体" w:hAnsi="宋体" w:cs="宋体"/>
          <w:i w:val="0"/>
          <w:caps w:val="0"/>
          <w:color w:val="auto"/>
          <w:spacing w:val="0"/>
          <w:sz w:val="21"/>
          <w:szCs w:val="21"/>
          <w:highlight w:val="yellow"/>
          <w:shd w:val="clear" w:color="auto" w:fill="FFFFFF"/>
          <w:lang w:val="en-US" w:eastAsia="zh-CN"/>
        </w:rPr>
        <w:t>自合同签订之日起至2022 年 12 月 31 日。</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霍山县2022年度生产建设项目水土保持方案技术评审服务，具体工作内容详见采购文件和采购需求清单</w:t>
      </w:r>
      <w:r>
        <w:rPr>
          <w:rFonts w:hint="eastAsia" w:ascii="宋体" w:hAnsi="宋体"/>
          <w:color w:val="000000"/>
          <w:sz w:val="21"/>
          <w:szCs w:val="21"/>
          <w:highlight w:val="none"/>
          <w:lang w:val="en-US"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s="宋体"/>
          <w:b w:val="0"/>
          <w:bCs/>
          <w:i w:val="0"/>
          <w:caps w:val="0"/>
          <w:color w:val="auto"/>
          <w:spacing w:val="0"/>
          <w:sz w:val="21"/>
          <w:szCs w:val="21"/>
          <w:highlight w:val="none"/>
          <w:shd w:val="clear" w:color="auto" w:fill="FFFFFF"/>
          <w:lang w:eastAsia="zh-CN"/>
        </w:rPr>
        <w:t>2、</w:t>
      </w:r>
      <w:r>
        <w:rPr>
          <w:rFonts w:hint="eastAsia" w:ascii="宋体" w:hAnsi="宋体"/>
          <w:color w:val="000000"/>
          <w:sz w:val="21"/>
          <w:szCs w:val="21"/>
          <w:highlight w:val="none"/>
          <w:lang w:val="en-US" w:eastAsia="zh-CN"/>
        </w:rPr>
        <w:t>投标人资格要求：具有有效的营业执照、组织机构代码证、税务登记证（或三证合一证书）；水土保持方案编制水平评价达到1星及以上；</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val="en-US" w:eastAsia="zh-CN"/>
        </w:rPr>
        <w:t>3、项目负责人资质要求：</w:t>
      </w:r>
      <w:r>
        <w:rPr>
          <w:rFonts w:hint="eastAsia" w:ascii="宋体" w:hAnsi="宋体" w:cs="宋体"/>
          <w:b w:val="0"/>
          <w:bCs/>
          <w:i w:val="0"/>
          <w:caps w:val="0"/>
          <w:color w:val="auto"/>
          <w:spacing w:val="0"/>
          <w:sz w:val="21"/>
          <w:szCs w:val="21"/>
          <w:highlight w:val="none"/>
          <w:shd w:val="clear" w:color="auto" w:fill="FFFFFF"/>
          <w:lang w:eastAsia="zh-CN"/>
        </w:rPr>
        <w:t>须具有水利相关专业高级工程师及以上技术职称；</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val="en-US" w:eastAsia="zh-CN"/>
        </w:rPr>
      </w:pPr>
      <w:r>
        <w:rPr>
          <w:rFonts w:hint="eastAsia" w:ascii="宋体" w:hAnsi="宋体" w:cs="宋体"/>
          <w:b w:val="0"/>
          <w:bCs/>
          <w:i w:val="0"/>
          <w:caps w:val="0"/>
          <w:color w:val="auto"/>
          <w:spacing w:val="0"/>
          <w:sz w:val="21"/>
          <w:szCs w:val="21"/>
          <w:highlight w:val="none"/>
          <w:shd w:val="clear" w:color="auto" w:fill="FFFFFF"/>
          <w:lang w:val="en-US" w:eastAsia="zh-CN"/>
        </w:rPr>
        <w:t>4、项目组成员配置及资格要求：至少配置2名专职水土保持方案评审服务人员，且具有水利水保相关专业中级及以上技术职称。</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5、本项目不接受联合体参与投标；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6、供应商存在以下不良信用记录情形之一的，不得推荐为成交候选供应商，不得确定为成交供应商（仅以下述渠道查询结果为准，其他网站无效）：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1月10日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w:t>
      </w:r>
      <w:r>
        <w:rPr>
          <w:rFonts w:hint="eastAsia" w:ascii="宋体" w:hAnsi="宋体" w:cs="宋体"/>
          <w:i w:val="0"/>
          <w:caps w:val="0"/>
          <w:color w:val="auto"/>
          <w:spacing w:val="0"/>
          <w:sz w:val="21"/>
          <w:szCs w:val="21"/>
          <w:highlight w:val="none"/>
          <w:shd w:val="clear" w:color="auto" w:fill="FFFFFF"/>
          <w:lang w:val="en-US" w:eastAsia="zh-CN"/>
        </w:rPr>
        <w:t>2</w:t>
      </w:r>
      <w:r>
        <w:rPr>
          <w:rFonts w:hint="eastAsia" w:ascii="宋体" w:hAnsi="宋体" w:cs="宋体"/>
          <w:i w:val="0"/>
          <w:caps w:val="0"/>
          <w:color w:val="auto"/>
          <w:spacing w:val="0"/>
          <w:sz w:val="21"/>
          <w:szCs w:val="21"/>
          <w:highlight w:val="none"/>
          <w:shd w:val="clear" w:color="auto" w:fill="FFFFFF"/>
          <w:lang w:eastAsia="zh-CN"/>
        </w:rPr>
        <w:t>年</w:t>
      </w:r>
      <w:r>
        <w:rPr>
          <w:rFonts w:hint="eastAsia" w:ascii="宋体" w:hAnsi="宋体" w:cs="宋体"/>
          <w:i w:val="0"/>
          <w:caps w:val="0"/>
          <w:color w:val="auto"/>
          <w:spacing w:val="0"/>
          <w:sz w:val="21"/>
          <w:szCs w:val="21"/>
          <w:highlight w:val="none"/>
          <w:shd w:val="clear" w:color="auto" w:fill="FFFFFF"/>
          <w:lang w:val="en-US" w:eastAsia="zh-CN"/>
        </w:rPr>
        <w:t>1</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14</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202</w:t>
      </w:r>
      <w:r>
        <w:rPr>
          <w:rFonts w:hint="eastAsia" w:ascii="宋体" w:hAnsi="宋体" w:cs="宋体"/>
          <w:i w:val="0"/>
          <w:caps w:val="0"/>
          <w:color w:val="auto"/>
          <w:spacing w:val="0"/>
          <w:sz w:val="21"/>
          <w:szCs w:val="21"/>
          <w:highlight w:val="none"/>
          <w:u w:val="single"/>
          <w:shd w:val="clear" w:color="auto" w:fill="FFFFFF"/>
          <w:lang w:val="en-US" w:eastAsia="zh-CN"/>
        </w:rPr>
        <w:t>2</w:t>
      </w:r>
      <w:r>
        <w:rPr>
          <w:rFonts w:hint="eastAsia" w:ascii="宋体" w:hAnsi="宋体" w:cs="宋体"/>
          <w:i w:val="0"/>
          <w:caps w:val="0"/>
          <w:color w:val="auto"/>
          <w:spacing w:val="0"/>
          <w:sz w:val="21"/>
          <w:szCs w:val="21"/>
          <w:highlight w:val="none"/>
          <w:u w:val="single"/>
          <w:shd w:val="clear" w:color="auto" w:fill="FFFFFF"/>
          <w:lang w:eastAsia="zh-CN"/>
        </w:rPr>
        <w:t>年</w:t>
      </w:r>
      <w:r>
        <w:rPr>
          <w:rFonts w:hint="eastAsia" w:ascii="宋体" w:hAnsi="宋体" w:cs="宋体"/>
          <w:i w:val="0"/>
          <w:caps w:val="0"/>
          <w:color w:val="auto"/>
          <w:spacing w:val="0"/>
          <w:sz w:val="21"/>
          <w:szCs w:val="21"/>
          <w:highlight w:val="none"/>
          <w:u w:val="single"/>
          <w:shd w:val="clear" w:color="auto" w:fill="FFFFFF"/>
          <w:lang w:val="en-US" w:eastAsia="zh-CN"/>
        </w:rPr>
        <w:t>1</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14</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w:t>
      </w:r>
      <w:r>
        <w:rPr>
          <w:rFonts w:hint="eastAsia" w:ascii="宋体" w:hAnsi="宋体" w:cs="宋体"/>
          <w:i w:val="0"/>
          <w:caps w:val="0"/>
          <w:color w:val="auto"/>
          <w:spacing w:val="0"/>
          <w:sz w:val="21"/>
          <w:szCs w:val="21"/>
          <w:highlight w:val="none"/>
          <w:u w:val="single"/>
          <w:shd w:val="clear" w:color="auto" w:fill="FFFFFF"/>
          <w:lang w:eastAsia="zh-CN"/>
        </w:rPr>
        <w:t>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bookmarkStart w:id="83" w:name="_GoBack"/>
      <w:bookmarkEnd w:id="83"/>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霍山县水务局</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何先生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 xml:space="preserve"> 0564-5024042</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霍山县水务局</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1月10日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20"/>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霍山县水务局</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何</w:t>
            </w:r>
            <w:r>
              <w:rPr>
                <w:rFonts w:hint="eastAsia" w:ascii="宋体" w:hAnsi="宋体" w:eastAsia="宋体" w:cs="宋体"/>
                <w:i w:val="0"/>
                <w:caps w:val="0"/>
                <w:color w:val="auto"/>
                <w:spacing w:val="0"/>
                <w:sz w:val="21"/>
                <w:szCs w:val="21"/>
                <w:highlight w:val="none"/>
                <w:shd w:val="clear" w:color="auto" w:fill="FFFFFF"/>
              </w:rPr>
              <w:t>先生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0564-5024042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霍山县2022年度生产建设项目水土保持方案技术评审服务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贰拾玖万伍仟元整（￥295000.00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yellow"/>
                <w:u w:val="none"/>
                <w:lang w:val="en-US" w:eastAsia="zh-CN" w:bidi="ar-SA"/>
              </w:rPr>
              <w:t>合同签订后待国拨预算资金下达后根据项目数据实结算。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yellow"/>
                <w:lang w:val="en-US" w:eastAsia="zh-CN"/>
              </w:rPr>
              <w:t>自合同签订之日起至 2022 年 12 月 31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w:t>
            </w:r>
            <w:r>
              <w:rPr>
                <w:rFonts w:hint="eastAsia" w:ascii="宋体" w:hAnsi="宋体" w:cs="宋体"/>
                <w:b/>
                <w:color w:val="auto"/>
                <w:sz w:val="21"/>
                <w:szCs w:val="21"/>
                <w:highlight w:val="none"/>
                <w:u w:val="single"/>
                <w:lang w:val="en-US" w:eastAsia="zh-CN"/>
              </w:rPr>
              <w:t>2</w:t>
            </w:r>
            <w:r>
              <w:rPr>
                <w:rFonts w:hint="eastAsia" w:ascii="宋体" w:hAnsi="宋体" w:cs="宋体"/>
                <w:b/>
                <w:color w:val="auto"/>
                <w:sz w:val="21"/>
                <w:szCs w:val="21"/>
                <w:highlight w:val="none"/>
                <w:u w:val="single"/>
                <w:lang w:eastAsia="zh-CN"/>
              </w:rPr>
              <w:t>年</w:t>
            </w:r>
            <w:r>
              <w:rPr>
                <w:rFonts w:hint="eastAsia" w:ascii="宋体" w:hAnsi="宋体" w:cs="宋体"/>
                <w:b/>
                <w:color w:val="auto"/>
                <w:sz w:val="21"/>
                <w:szCs w:val="21"/>
                <w:highlight w:val="none"/>
                <w:u w:val="single"/>
                <w:lang w:val="en-US" w:eastAsia="zh-CN"/>
              </w:rPr>
              <w:t>1</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14</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5"/>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2"/>
                <w:rFonts w:hint="eastAsia" w:ascii="宋体" w:hAnsi="宋体" w:eastAsia="宋体" w:cs="宋体"/>
                <w:color w:val="auto"/>
                <w:sz w:val="21"/>
                <w:szCs w:val="21"/>
                <w:highlight w:val="none"/>
                <w:u w:val="none"/>
                <w:lang w:val="en-US" w:eastAsia="zh-CN"/>
              </w:rPr>
              <w:t>word或wps,可编辑模式）发送至</w:t>
            </w:r>
            <w:r>
              <w:rPr>
                <w:rStyle w:val="32"/>
                <w:rFonts w:hint="eastAsia" w:ascii="宋体" w:hAnsi="宋体" w:cs="宋体"/>
                <w:color w:val="auto"/>
                <w:sz w:val="21"/>
                <w:szCs w:val="21"/>
                <w:highlight w:val="none"/>
                <w:u w:val="none"/>
                <w:lang w:val="en-US" w:eastAsia="zh-CN"/>
              </w:rPr>
              <w:t>278329470@qq.com</w:t>
            </w:r>
            <w:r>
              <w:rPr>
                <w:rStyle w:val="32"/>
                <w:rFonts w:hint="eastAsia" w:ascii="宋体" w:hAnsi="宋体" w:eastAsia="宋体" w:cs="宋体"/>
                <w:color w:val="auto"/>
                <w:sz w:val="21"/>
                <w:szCs w:val="21"/>
                <w:highlight w:val="none"/>
                <w:u w:val="none"/>
                <w:lang w:val="en-US" w:eastAsia="zh-CN"/>
              </w:rPr>
              <w:t>邮箱。质疑须在开标</w:t>
            </w:r>
            <w:r>
              <w:rPr>
                <w:rStyle w:val="32"/>
                <w:rFonts w:hint="eastAsia" w:ascii="宋体" w:hAnsi="宋体" w:cs="宋体"/>
                <w:color w:val="auto"/>
                <w:sz w:val="21"/>
                <w:szCs w:val="21"/>
                <w:highlight w:val="none"/>
                <w:u w:val="none"/>
                <w:lang w:val="en-US" w:eastAsia="zh-CN"/>
              </w:rPr>
              <w:t>2</w:t>
            </w:r>
            <w:r>
              <w:rPr>
                <w:rStyle w:val="32"/>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216158627"/>
      <w:bookmarkStart w:id="12" w:name="_Toc363199267"/>
      <w:r>
        <w:rPr>
          <w:rFonts w:hint="eastAsia" w:ascii="宋体" w:hAnsi="宋体" w:eastAsia="宋体" w:cs="宋体"/>
          <w:bCs/>
          <w:color w:val="auto"/>
          <w:sz w:val="28"/>
          <w:szCs w:val="28"/>
          <w:highlight w:val="none"/>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12806"/>
      <w:bookmarkStart w:id="14" w:name="_Toc216158625"/>
      <w:bookmarkStart w:id="15" w:name="_Toc363199266"/>
      <w:bookmarkStart w:id="16" w:name="_Toc438648662"/>
      <w:r>
        <w:rPr>
          <w:rFonts w:hint="eastAsia"/>
          <w:color w:val="auto"/>
          <w:sz w:val="24"/>
          <w:szCs w:val="24"/>
          <w:highlight w:val="none"/>
          <w:lang w:eastAsia="zh-CN"/>
        </w:rPr>
        <w:t>详见询价公告</w:t>
      </w:r>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jc w:val="left"/>
        <w:rPr>
          <w:rFonts w:hint="default" w:ascii="Tahoma" w:hAnsi="Tahoma"/>
          <w:color w:val="auto"/>
          <w:sz w:val="21"/>
          <w:szCs w:val="21"/>
          <w:highlight w:val="none"/>
          <w:lang w:val="en-US" w:eastAsia="zh-CN"/>
        </w:rPr>
      </w:pPr>
      <w:r>
        <w:rPr>
          <w:rFonts w:hint="eastAsia" w:ascii="宋体" w:hAnsi="宋体"/>
          <w:color w:val="auto"/>
          <w:sz w:val="21"/>
          <w:szCs w:val="21"/>
          <w:highlight w:val="none"/>
          <w:lang w:val="en-US" w:eastAsia="zh-CN"/>
        </w:rPr>
        <w:t xml:space="preserve">    7、</w:t>
      </w:r>
      <w:r>
        <w:rPr>
          <w:rFonts w:hint="eastAsia" w:ascii="Tahoma" w:hAnsi="Tahoma"/>
          <w:color w:val="auto"/>
          <w:sz w:val="21"/>
          <w:szCs w:val="21"/>
          <w:highlight w:val="none"/>
          <w:lang w:val="en-US" w:eastAsia="zh-CN"/>
        </w:rPr>
        <w:t>项目组成员一览表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471299093"/>
      <w:bookmarkStart w:id="22" w:name="_Toc3168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471299094"/>
      <w:bookmarkStart w:id="24" w:name="_Toc106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382"/>
      <w:bookmarkStart w:id="26" w:name="_Toc47129909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471299096"/>
      <w:bookmarkStart w:id="28" w:name="_Toc2322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23894"/>
      <w:bookmarkStart w:id="30" w:name="_Toc471299097"/>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霍山县水务局</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霍山县水务局</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bookmarkEnd w:id="18"/>
    <w:p>
      <w:pPr>
        <w:pStyle w:val="41"/>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olor w:val="auto"/>
          <w:sz w:val="28"/>
          <w:szCs w:val="28"/>
          <w:highlight w:val="none"/>
        </w:rPr>
      </w:pPr>
      <w:bookmarkStart w:id="31" w:name="_Toc16484_WPSOffice_Level1"/>
      <w:bookmarkStart w:id="32" w:name="_Toc12757"/>
      <w:bookmarkStart w:id="33"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p>
      <w:pPr>
        <w:pStyle w:val="9"/>
        <w:spacing w:before="0" w:after="0" w:line="560" w:lineRule="exact"/>
        <w:jc w:val="center"/>
        <w:rPr>
          <w:rFonts w:hint="eastAsia" w:ascii="宋体" w:hAnsi="宋体" w:eastAsia="宋体" w:cs="宋体"/>
          <w:sz w:val="24"/>
          <w:szCs w:val="24"/>
        </w:rPr>
      </w:pPr>
      <w:bookmarkStart w:id="34" w:name="_Toc1497"/>
      <w:bookmarkStart w:id="35" w:name="_Toc11767"/>
      <w:r>
        <w:rPr>
          <w:rFonts w:hint="eastAsia" w:ascii="宋体" w:hAnsi="宋体" w:eastAsia="宋体" w:cs="宋体"/>
          <w:sz w:val="24"/>
          <w:szCs w:val="24"/>
        </w:rPr>
        <w:t>（甲乙双方可自行拟定）</w:t>
      </w:r>
      <w:bookmarkEnd w:id="34"/>
      <w:bookmarkEnd w:id="35"/>
    </w:p>
    <w:p>
      <w:pPr>
        <w:rPr>
          <w:rFonts w:hint="eastAsia"/>
          <w:sz w:val="28"/>
          <w:szCs w:val="28"/>
        </w:rPr>
      </w:pPr>
      <w:r>
        <w:rPr>
          <w:rFonts w:hint="eastAsia" w:ascii="宋体" w:hAnsi="宋体" w:cs="宋体"/>
          <w:b/>
          <w:sz w:val="28"/>
          <w:szCs w:val="28"/>
        </w:rPr>
        <w:t>合同编号：</w:t>
      </w:r>
    </w:p>
    <w:p>
      <w:pPr>
        <w:jc w:val="center"/>
        <w:rPr>
          <w:rFonts w:hint="eastAsia" w:ascii="宋体" w:hAnsi="宋体" w:cs="宋体"/>
          <w:b/>
          <w:sz w:val="28"/>
          <w:szCs w:val="28"/>
          <w:lang w:eastAsia="zh-CN"/>
        </w:rPr>
      </w:pPr>
      <w:r>
        <w:rPr>
          <w:rFonts w:hint="eastAsia" w:ascii="宋体" w:hAnsi="宋体" w:cs="宋体"/>
          <w:b/>
          <w:sz w:val="28"/>
          <w:szCs w:val="28"/>
          <w:lang w:eastAsia="zh-CN"/>
        </w:rPr>
        <w:t>霍山县2022年度生产建设项目水土保持方案技术评审服务</w:t>
      </w:r>
    </w:p>
    <w:p>
      <w:pPr>
        <w:pStyle w:val="2"/>
        <w:rPr>
          <w:rFonts w:hint="eastAsia"/>
        </w:rPr>
      </w:pPr>
    </w:p>
    <w:p>
      <w:pPr>
        <w:pStyle w:val="2"/>
        <w:rPr>
          <w:rFonts w:hint="eastAsia"/>
        </w:rPr>
      </w:pPr>
    </w:p>
    <w:p>
      <w:pPr>
        <w:jc w:val="center"/>
        <w:rPr>
          <w:rFonts w:hint="eastAsia" w:ascii="宋体" w:hAnsi="宋体" w:cs="宋体"/>
          <w:b/>
          <w:sz w:val="44"/>
          <w:szCs w:val="44"/>
        </w:rPr>
      </w:pPr>
      <w:r>
        <w:rPr>
          <w:rFonts w:hint="eastAsia" w:ascii="宋体" w:hAnsi="宋体" w:cs="宋体"/>
          <w:b/>
          <w:sz w:val="44"/>
          <w:szCs w:val="44"/>
        </w:rPr>
        <w:t xml:space="preserve">技 </w:t>
      </w:r>
    </w:p>
    <w:p>
      <w:pPr>
        <w:jc w:val="center"/>
        <w:rPr>
          <w:rFonts w:hint="eastAsia" w:ascii="宋体" w:hAnsi="宋体" w:cs="宋体"/>
          <w:b/>
          <w:sz w:val="44"/>
          <w:szCs w:val="44"/>
        </w:rPr>
      </w:pPr>
      <w:r>
        <w:rPr>
          <w:rFonts w:hint="eastAsia" w:ascii="宋体" w:hAnsi="宋体" w:cs="宋体"/>
          <w:b/>
          <w:sz w:val="44"/>
          <w:szCs w:val="44"/>
        </w:rPr>
        <w:t xml:space="preserve">术 </w:t>
      </w:r>
    </w:p>
    <w:p>
      <w:pPr>
        <w:jc w:val="center"/>
        <w:rPr>
          <w:rFonts w:hint="eastAsia" w:ascii="宋体" w:hAnsi="宋体" w:cs="宋体"/>
          <w:b/>
          <w:sz w:val="44"/>
          <w:szCs w:val="44"/>
        </w:rPr>
      </w:pPr>
      <w:r>
        <w:rPr>
          <w:rFonts w:hint="eastAsia" w:ascii="宋体" w:hAnsi="宋体" w:cs="宋体"/>
          <w:b/>
          <w:sz w:val="44"/>
          <w:szCs w:val="44"/>
        </w:rPr>
        <w:t xml:space="preserve">服 </w:t>
      </w:r>
    </w:p>
    <w:p>
      <w:pPr>
        <w:jc w:val="center"/>
        <w:rPr>
          <w:rFonts w:hint="eastAsia" w:ascii="宋体" w:hAnsi="宋体" w:cs="宋体"/>
          <w:b/>
          <w:sz w:val="44"/>
          <w:szCs w:val="44"/>
        </w:rPr>
      </w:pPr>
      <w:r>
        <w:rPr>
          <w:rFonts w:hint="eastAsia" w:ascii="宋体" w:hAnsi="宋体" w:cs="宋体"/>
          <w:b/>
          <w:sz w:val="44"/>
          <w:szCs w:val="44"/>
        </w:rPr>
        <w:t xml:space="preserve">务 </w:t>
      </w:r>
    </w:p>
    <w:p>
      <w:pPr>
        <w:jc w:val="center"/>
        <w:rPr>
          <w:rFonts w:hint="eastAsia" w:ascii="宋体" w:hAnsi="宋体" w:cs="宋体"/>
          <w:b/>
          <w:sz w:val="44"/>
          <w:szCs w:val="44"/>
        </w:rPr>
      </w:pPr>
      <w:r>
        <w:rPr>
          <w:rFonts w:hint="eastAsia" w:ascii="宋体" w:hAnsi="宋体" w:cs="宋体"/>
          <w:b/>
          <w:sz w:val="44"/>
          <w:szCs w:val="44"/>
        </w:rPr>
        <w:t xml:space="preserve">合 </w:t>
      </w:r>
    </w:p>
    <w:p>
      <w:pPr>
        <w:jc w:val="center"/>
        <w:rPr>
          <w:rFonts w:hint="eastAsia" w:ascii="宋体" w:hAnsi="宋体" w:cs="宋体"/>
          <w:b/>
          <w:sz w:val="44"/>
          <w:szCs w:val="44"/>
        </w:rPr>
      </w:pPr>
      <w:r>
        <w:rPr>
          <w:rFonts w:hint="eastAsia" w:ascii="宋体" w:hAnsi="宋体" w:cs="宋体"/>
          <w:b/>
          <w:sz w:val="44"/>
          <w:szCs w:val="44"/>
        </w:rPr>
        <w:t>同</w:t>
      </w:r>
    </w:p>
    <w:p>
      <w:pPr>
        <w:rPr>
          <w:rFonts w:hint="eastAsia" w:ascii="宋体" w:hAnsi="宋体" w:cs="宋体"/>
          <w:b/>
          <w:sz w:val="44"/>
          <w:szCs w:val="44"/>
        </w:rPr>
      </w:pPr>
    </w:p>
    <w:p>
      <w:pPr>
        <w:pStyle w:val="2"/>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ind w:firstLine="551" w:firstLineChars="196"/>
        <w:rPr>
          <w:rFonts w:hint="eastAsia" w:ascii="宋体" w:hAnsi="宋体" w:cs="宋体"/>
          <w:b/>
          <w:sz w:val="28"/>
          <w:szCs w:val="28"/>
        </w:rPr>
      </w:pPr>
    </w:p>
    <w:p>
      <w:pPr>
        <w:ind w:firstLine="551" w:firstLineChars="196"/>
        <w:rPr>
          <w:rFonts w:hint="eastAsia" w:ascii="宋体" w:hAnsi="宋体" w:cs="宋体"/>
          <w:b/>
          <w:sz w:val="28"/>
          <w:szCs w:val="28"/>
          <w:u w:val="single"/>
        </w:rPr>
      </w:pPr>
      <w:r>
        <w:rPr>
          <w:rFonts w:hint="eastAsia" w:ascii="宋体" w:hAnsi="宋体" w:cs="宋体"/>
          <w:b/>
          <w:sz w:val="28"/>
          <w:szCs w:val="28"/>
        </w:rPr>
        <w:t>委托方 （甲方）：</w:t>
      </w:r>
      <w:r>
        <w:rPr>
          <w:rFonts w:hint="eastAsia" w:ascii="宋体" w:hAnsi="宋体" w:cs="宋体"/>
          <w:b/>
          <w:sz w:val="28"/>
          <w:szCs w:val="28"/>
          <w:u w:val="single"/>
        </w:rPr>
        <w:t xml:space="preserve">      </w:t>
      </w:r>
      <w:r>
        <w:rPr>
          <w:rFonts w:hint="eastAsia" w:ascii="宋体" w:hAnsi="宋体" w:cs="宋体"/>
          <w:b/>
          <w:sz w:val="28"/>
          <w:szCs w:val="28"/>
          <w:u w:val="single"/>
          <w:lang w:eastAsia="zh-CN"/>
        </w:rPr>
        <w:t>霍山县水务局</w:t>
      </w:r>
      <w:r>
        <w:rPr>
          <w:rFonts w:hint="eastAsia" w:ascii="宋体" w:hAnsi="宋体" w:cs="宋体"/>
          <w:b/>
          <w:sz w:val="28"/>
          <w:szCs w:val="28"/>
          <w:u w:val="single"/>
          <w:lang w:val="en-US" w:eastAsia="zh-CN"/>
        </w:rPr>
        <w:t xml:space="preserve">  </w:t>
      </w:r>
      <w:r>
        <w:rPr>
          <w:rFonts w:hint="eastAsia" w:ascii="宋体" w:hAnsi="宋体" w:cs="宋体"/>
          <w:b/>
          <w:sz w:val="28"/>
          <w:szCs w:val="28"/>
          <w:u w:val="single"/>
        </w:rPr>
        <w:t xml:space="preserve">          </w:t>
      </w:r>
    </w:p>
    <w:p>
      <w:pPr>
        <w:ind w:firstLine="562" w:firstLineChars="200"/>
        <w:rPr>
          <w:rFonts w:hint="default" w:ascii="宋体" w:hAnsi="宋体" w:eastAsia="宋体" w:cs="宋体"/>
          <w:b/>
          <w:sz w:val="28"/>
          <w:szCs w:val="28"/>
          <w:u w:val="single"/>
          <w:lang w:val="en-US" w:eastAsia="zh-CN"/>
        </w:rPr>
      </w:pPr>
      <w:r>
        <w:rPr>
          <w:rFonts w:hint="eastAsia" w:ascii="宋体" w:hAnsi="宋体" w:cs="宋体"/>
          <w:b/>
          <w:sz w:val="28"/>
          <w:szCs w:val="28"/>
        </w:rPr>
        <w:t>承接方 （乙方）：</w:t>
      </w:r>
      <w:r>
        <w:rPr>
          <w:rFonts w:hint="eastAsia" w:ascii="宋体" w:hAnsi="宋体" w:cs="宋体"/>
          <w:b/>
          <w:sz w:val="28"/>
          <w:szCs w:val="28"/>
          <w:u w:val="single"/>
          <w:lang w:val="en-US" w:eastAsia="zh-CN"/>
        </w:rPr>
        <w:t xml:space="preserve">                   </w:t>
      </w:r>
    </w:p>
    <w:p>
      <w:pPr>
        <w:ind w:firstLine="562" w:firstLineChars="200"/>
        <w:rPr>
          <w:rFonts w:hint="eastAsia" w:ascii="宋体" w:hAnsi="宋体" w:cs="宋体"/>
          <w:b/>
          <w:sz w:val="28"/>
          <w:szCs w:val="28"/>
          <w:u w:val="single"/>
        </w:rPr>
      </w:pPr>
    </w:p>
    <w:p>
      <w:pPr>
        <w:ind w:firstLine="3373" w:firstLineChars="1200"/>
        <w:rPr>
          <w:rFonts w:hint="eastAsia" w:ascii="宋体" w:hAnsi="宋体" w:cs="宋体"/>
          <w:b/>
          <w:sz w:val="28"/>
          <w:szCs w:val="28"/>
        </w:rPr>
      </w:pPr>
    </w:p>
    <w:p>
      <w:pPr>
        <w:ind w:firstLine="3373" w:firstLineChars="1200"/>
        <w:rPr>
          <w:rFonts w:hint="eastAsia" w:ascii="宋体" w:hAnsi="宋体" w:cs="宋体"/>
          <w:b/>
          <w:sz w:val="28"/>
          <w:szCs w:val="28"/>
        </w:rPr>
      </w:pPr>
    </w:p>
    <w:p>
      <w:pPr>
        <w:ind w:firstLine="3373" w:firstLineChars="1200"/>
        <w:rPr>
          <w:rFonts w:hint="eastAsia" w:ascii="宋体" w:hAnsi="宋体" w:cs="宋体"/>
          <w:b/>
          <w:sz w:val="28"/>
          <w:szCs w:val="28"/>
        </w:rPr>
      </w:pPr>
      <w:r>
        <w:rPr>
          <w:rFonts w:hint="eastAsia" w:ascii="宋体" w:hAnsi="宋体" w:cs="宋体"/>
          <w:b/>
          <w:sz w:val="28"/>
          <w:szCs w:val="28"/>
        </w:rPr>
        <w:t>技 术 服 务 合 同</w:t>
      </w:r>
    </w:p>
    <w:p>
      <w:pPr>
        <w:spacing w:line="560" w:lineRule="exact"/>
        <w:ind w:firstLine="2182" w:firstLineChars="494"/>
        <w:rPr>
          <w:rFonts w:hint="eastAsia" w:ascii="宋体" w:hAnsi="宋体" w:cs="宋体"/>
          <w:b/>
          <w:sz w:val="44"/>
          <w:szCs w:val="44"/>
        </w:rPr>
      </w:pPr>
    </w:p>
    <w:p>
      <w:pPr>
        <w:spacing w:line="480" w:lineRule="exact"/>
        <w:rPr>
          <w:rFonts w:hint="eastAsia" w:ascii="宋体" w:hAnsi="宋体" w:cs="宋体"/>
          <w:b/>
          <w:sz w:val="24"/>
          <w:szCs w:val="24"/>
          <w:u w:val="single"/>
        </w:rPr>
      </w:pPr>
      <w:r>
        <w:rPr>
          <w:rFonts w:hint="eastAsia" w:ascii="宋体" w:hAnsi="宋体" w:cs="宋体"/>
          <w:b/>
          <w:sz w:val="24"/>
          <w:szCs w:val="24"/>
        </w:rPr>
        <w:t>委托方（甲方）：</w:t>
      </w:r>
      <w:r>
        <w:rPr>
          <w:rFonts w:hint="eastAsia" w:ascii="宋体" w:hAnsi="宋体" w:cs="宋体"/>
          <w:sz w:val="24"/>
          <w:szCs w:val="24"/>
          <w:u w:val="single"/>
        </w:rPr>
        <w:t xml:space="preserve">          </w:t>
      </w:r>
      <w:r>
        <w:rPr>
          <w:rFonts w:hint="eastAsia" w:ascii="宋体" w:hAnsi="宋体" w:cs="宋体"/>
          <w:b/>
          <w:sz w:val="24"/>
          <w:szCs w:val="24"/>
          <w:u w:val="single"/>
          <w:lang w:eastAsia="zh-CN"/>
        </w:rPr>
        <w:t>霍山县水务局</w:t>
      </w:r>
      <w:r>
        <w:rPr>
          <w:rFonts w:hint="eastAsia" w:ascii="宋体" w:hAnsi="宋体" w:cs="宋体"/>
          <w:b/>
          <w:sz w:val="24"/>
          <w:szCs w:val="24"/>
          <w:u w:val="single"/>
        </w:rPr>
        <w:t xml:space="preserve"> </w:t>
      </w:r>
      <w:r>
        <w:rPr>
          <w:rFonts w:hint="eastAsia" w:ascii="宋体" w:hAnsi="宋体" w:cs="宋体"/>
          <w:sz w:val="24"/>
          <w:szCs w:val="24"/>
          <w:u w:val="single"/>
        </w:rPr>
        <w:t xml:space="preserve">         </w:t>
      </w:r>
    </w:p>
    <w:p>
      <w:pPr>
        <w:spacing w:line="480" w:lineRule="exact"/>
        <w:rPr>
          <w:rFonts w:hint="eastAsia" w:ascii="宋体" w:hAnsi="宋体" w:cs="宋体"/>
          <w:sz w:val="24"/>
          <w:szCs w:val="24"/>
          <w:u w:val="single"/>
        </w:rPr>
      </w:pPr>
      <w:r>
        <w:rPr>
          <w:rFonts w:hint="eastAsia" w:ascii="宋体" w:hAnsi="宋体" w:cs="宋体"/>
          <w:b/>
          <w:sz w:val="24"/>
          <w:szCs w:val="24"/>
        </w:rPr>
        <w:t>承接方（乙方）：</w:t>
      </w:r>
      <w:r>
        <w:rPr>
          <w:rFonts w:hint="eastAsia" w:ascii="宋体" w:hAnsi="宋体" w:cs="宋体"/>
          <w:b/>
          <w:sz w:val="24"/>
          <w:szCs w:val="24"/>
          <w:u w:val="none"/>
        </w:rPr>
        <w:t xml:space="preserve">                          </w:t>
      </w:r>
      <w:r>
        <w:rPr>
          <w:rFonts w:hint="eastAsia" w:ascii="宋体" w:hAnsi="宋体" w:cs="宋体"/>
          <w:b/>
          <w:sz w:val="24"/>
          <w:szCs w:val="24"/>
          <w:u w:val="single"/>
        </w:rPr>
        <w:t xml:space="preserve">     </w:t>
      </w:r>
      <w:r>
        <w:rPr>
          <w:rFonts w:hint="eastAsia" w:ascii="宋体" w:hAnsi="宋体" w:cs="宋体"/>
          <w:b/>
          <w:sz w:val="24"/>
          <w:szCs w:val="24"/>
          <w:u w:val="single"/>
          <w:lang w:val="en-US" w:eastAsia="zh-CN"/>
        </w:rPr>
        <w:t xml:space="preserve"> </w:t>
      </w:r>
      <w:r>
        <w:rPr>
          <w:rFonts w:hint="eastAsia" w:ascii="宋体" w:hAnsi="宋体" w:cs="宋体"/>
          <w:b/>
          <w:sz w:val="24"/>
          <w:szCs w:val="24"/>
        </w:rPr>
        <w:t xml:space="preserve">  </w:t>
      </w:r>
    </w:p>
    <w:p>
      <w:pPr>
        <w:spacing w:line="480" w:lineRule="exact"/>
        <w:ind w:firstLine="360" w:firstLineChars="150"/>
        <w:rPr>
          <w:rFonts w:hint="eastAsia" w:ascii="宋体" w:hAnsi="宋体" w:cs="宋体"/>
          <w:b/>
          <w:sz w:val="24"/>
          <w:szCs w:val="24"/>
          <w:u w:val="single"/>
        </w:rPr>
      </w:pPr>
      <w:r>
        <w:rPr>
          <w:rFonts w:hint="eastAsia" w:ascii="宋体" w:hAnsi="宋体" w:cs="宋体"/>
          <w:sz w:val="24"/>
          <w:szCs w:val="24"/>
        </w:rPr>
        <w:t xml:space="preserve"> 本合同甲方委托乙方就</w:t>
      </w:r>
      <w:r>
        <w:rPr>
          <w:rFonts w:hint="eastAsia" w:ascii="宋体" w:hAnsi="宋体" w:cs="宋体"/>
          <w:b/>
          <w:sz w:val="24"/>
          <w:szCs w:val="24"/>
        </w:rPr>
        <w:t>：</w:t>
      </w:r>
      <w:r>
        <w:rPr>
          <w:rFonts w:hint="eastAsia" w:ascii="宋体" w:hAnsi="宋体" w:cs="宋体"/>
          <w:b/>
          <w:sz w:val="24"/>
          <w:szCs w:val="24"/>
          <w:u w:val="single"/>
          <w:lang w:eastAsia="zh-CN"/>
        </w:rPr>
        <w:t>霍山县2022年度生产建设项目水土保持方案技术评审服务</w:t>
      </w:r>
      <w:r>
        <w:rPr>
          <w:rFonts w:hint="eastAsia" w:ascii="宋体" w:hAnsi="宋体" w:cs="宋体"/>
          <w:sz w:val="24"/>
          <w:szCs w:val="24"/>
        </w:rPr>
        <w:t>进行专项技术服务，并支付相应的技术服务报酬。根据《中华人民共和国民法典》的规定，为明确责任，经友好协商，就生产建设项目水土保持方案技术评审服务项目有关事宜达成如下协议，并由双方共同恪守。</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第一条  甲方委托乙方进行技术服务的内容如下：</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1、目的和内容：</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（1）就</w:t>
      </w:r>
      <w:r>
        <w:rPr>
          <w:rFonts w:hint="eastAsia" w:ascii="宋体" w:hAnsi="宋体" w:cs="宋体"/>
          <w:b/>
          <w:sz w:val="24"/>
          <w:szCs w:val="24"/>
          <w:u w:val="single"/>
          <w:lang w:eastAsia="zh-CN"/>
        </w:rPr>
        <w:t>霍山县2022年度生产建设项目水土保持方案技术评审服务</w:t>
      </w:r>
      <w:r>
        <w:rPr>
          <w:rFonts w:hint="eastAsia" w:ascii="宋体" w:hAnsi="宋体" w:cs="宋体"/>
          <w:sz w:val="24"/>
          <w:szCs w:val="24"/>
        </w:rPr>
        <w:t>，按照水土保持法律法规、技术规范和有关文件规定，开展</w:t>
      </w:r>
      <w:r>
        <w:rPr>
          <w:rFonts w:hint="eastAsia" w:ascii="宋体" w:hAnsi="宋体" w:cs="宋体"/>
          <w:sz w:val="24"/>
          <w:szCs w:val="24"/>
          <w:lang w:eastAsia="zh-CN"/>
        </w:rPr>
        <w:t>霍山县</w:t>
      </w:r>
      <w:r>
        <w:rPr>
          <w:rFonts w:hint="eastAsia" w:ascii="宋体" w:hAnsi="宋体" w:cs="宋体"/>
          <w:sz w:val="24"/>
          <w:szCs w:val="24"/>
        </w:rPr>
        <w:t>本级审批生产建设项目水土保持方案（含变更）的技术评审工作，提出每一个已受理水土保持方案的技术评审意见，明确水土保持方案是否满足批准条件</w:t>
      </w:r>
      <w:r>
        <w:rPr>
          <w:rFonts w:hint="eastAsia" w:cs="宋体"/>
          <w:kern w:val="0"/>
          <w:sz w:val="24"/>
          <w:shd w:val="clear" w:color="auto" w:fill="FFFFFF"/>
        </w:rPr>
        <w:t>；</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（2）对报送</w:t>
      </w:r>
      <w:r>
        <w:rPr>
          <w:rFonts w:hint="eastAsia" w:ascii="宋体" w:hAnsi="宋体" w:cs="宋体"/>
          <w:sz w:val="24"/>
          <w:szCs w:val="24"/>
          <w:lang w:eastAsia="zh-CN"/>
        </w:rPr>
        <w:t>霍山县水务局</w:t>
      </w:r>
      <w:r>
        <w:rPr>
          <w:rFonts w:hint="eastAsia" w:ascii="宋体" w:hAnsi="宋体" w:cs="宋体"/>
          <w:sz w:val="24"/>
          <w:szCs w:val="24"/>
        </w:rPr>
        <w:t>的审批类水土保持方案，在规定时间内开展</w:t>
      </w:r>
      <w:r>
        <w:rPr>
          <w:rFonts w:hint="eastAsia" w:ascii="宋体" w:hAnsi="宋体" w:cs="宋体"/>
          <w:sz w:val="24"/>
          <w:szCs w:val="24"/>
          <w:lang w:val="en-US" w:eastAsia="zh-CN"/>
        </w:rPr>
        <w:t>方案</w:t>
      </w:r>
      <w:r>
        <w:rPr>
          <w:rFonts w:hint="eastAsia" w:ascii="宋体" w:hAnsi="宋体" w:cs="宋体"/>
          <w:sz w:val="24"/>
          <w:szCs w:val="24"/>
        </w:rPr>
        <w:t>技术评审，出具技术评审意见。</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（3）对本级生产建设单位送审的水土保持方案进行初步审查，确定是否受理；</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（4）对通过初审的水土保持方案根据相关文件确定该项目的复杂性，为后期进行技术评审提供依据；</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（5）安排技术评审会议，配合发出技术评审通知，明确评审的具体时间及相关要求，告知联系方式和联系人等；</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（6）对需要进行现场踏勘的项目，组织评审专家、及相关部门参会人员踏勘工程现场；对地形条件简单、工程占地和土石方量小的生产建设项目，不需要组织现场踏勘的，通过视频资料介绍现场情况。</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（7）组织召开技术评审会议，形成初步评审意见反馈给建设单位进行修改完善；</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（8）对按初步评审意见修改形成的水保方案报批稿初稿进行技术复核，复核合格的，在规定时间内出具该项目水保方案技术审查意见，并正式报送</w:t>
      </w:r>
      <w:r>
        <w:rPr>
          <w:rFonts w:hint="eastAsia" w:ascii="宋体" w:hAnsi="宋体" w:cs="宋体"/>
          <w:sz w:val="24"/>
          <w:szCs w:val="24"/>
          <w:lang w:eastAsia="zh-CN"/>
        </w:rPr>
        <w:t>霍山县水务</w:t>
      </w:r>
      <w:r>
        <w:rPr>
          <w:rFonts w:hint="eastAsia" w:ascii="宋体" w:hAnsi="宋体" w:cs="宋体"/>
          <w:sz w:val="24"/>
          <w:szCs w:val="24"/>
        </w:rPr>
        <w:t>局；不合格的，退回建设单位修改完善；</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2、要求：严格按照水土保持法律法规、技术规范和有关文件规定对水土保持方案进行审查。</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第二条  乙方应按下列要求完成技术工作：</w:t>
      </w:r>
    </w:p>
    <w:p>
      <w:pPr>
        <w:spacing w:line="480" w:lineRule="exact"/>
        <w:ind w:firstLine="480" w:firstLineChars="200"/>
        <w:rPr>
          <w:rFonts w:ascii="宋体" w:hAnsi="宋体" w:cs="宋体"/>
          <w:sz w:val="24"/>
          <w:szCs w:val="24"/>
          <w:u w:val="single"/>
        </w:rPr>
      </w:pPr>
      <w:r>
        <w:rPr>
          <w:rFonts w:hint="eastAsia" w:ascii="宋体" w:hAnsi="宋体" w:cs="宋体"/>
          <w:sz w:val="24"/>
          <w:szCs w:val="24"/>
        </w:rPr>
        <w:t>1、技术服务地点：</w:t>
      </w:r>
      <w:r>
        <w:rPr>
          <w:rFonts w:hint="eastAsia" w:ascii="宋体" w:hAnsi="宋体" w:cs="宋体"/>
          <w:b/>
          <w:bCs/>
          <w:sz w:val="24"/>
          <w:szCs w:val="24"/>
          <w:u w:val="single"/>
        </w:rPr>
        <w:t xml:space="preserve"> </w:t>
      </w:r>
      <w:r>
        <w:rPr>
          <w:rFonts w:hint="eastAsia" w:ascii="宋体" w:hAnsi="宋体" w:cs="宋体"/>
          <w:b/>
          <w:bCs/>
          <w:sz w:val="24"/>
          <w:szCs w:val="24"/>
          <w:u w:val="single"/>
          <w:lang w:eastAsia="zh-CN"/>
        </w:rPr>
        <w:t>霍山县</w:t>
      </w:r>
      <w:r>
        <w:rPr>
          <w:rFonts w:hint="eastAsia" w:ascii="宋体" w:hAnsi="宋体" w:cs="宋体"/>
          <w:b/>
          <w:bCs/>
          <w:sz w:val="24"/>
          <w:szCs w:val="24"/>
          <w:u w:val="single"/>
        </w:rPr>
        <w:t xml:space="preserve"> </w:t>
      </w:r>
    </w:p>
    <w:p>
      <w:pPr>
        <w:spacing w:line="480" w:lineRule="exact"/>
        <w:ind w:firstLine="480" w:firstLineChars="200"/>
        <w:rPr>
          <w:rFonts w:hint="eastAsia" w:ascii="宋体" w:hAnsi="宋体" w:cs="宋体"/>
          <w:sz w:val="24"/>
          <w:szCs w:val="24"/>
          <w:u w:val="single"/>
        </w:rPr>
      </w:pPr>
      <w:r>
        <w:rPr>
          <w:rFonts w:hint="eastAsia" w:ascii="宋体" w:hAnsi="宋体" w:cs="宋体"/>
          <w:sz w:val="24"/>
          <w:szCs w:val="24"/>
        </w:rPr>
        <w:t>2、技术服务进度、期限：</w:t>
      </w:r>
      <w:r>
        <w:rPr>
          <w:rFonts w:hint="eastAsia" w:ascii="宋体" w:hAnsi="宋体" w:cs="宋体"/>
          <w:sz w:val="24"/>
          <w:szCs w:val="24"/>
          <w:u w:val="single"/>
        </w:rPr>
        <w:t>在规定时间内</w:t>
      </w:r>
      <w:r>
        <w:rPr>
          <w:rFonts w:hint="eastAsia" w:ascii="宋体" w:hAnsi="宋体" w:cs="宋体"/>
          <w:sz w:val="24"/>
          <w:szCs w:val="24"/>
          <w:u w:val="single"/>
          <w:lang w:eastAsia="zh-CN"/>
        </w:rPr>
        <w:t>，</w:t>
      </w:r>
      <w:r>
        <w:rPr>
          <w:rFonts w:hint="eastAsia" w:ascii="宋体" w:hAnsi="宋体" w:cs="宋体"/>
          <w:sz w:val="24"/>
          <w:szCs w:val="24"/>
          <w:u w:val="single"/>
        </w:rPr>
        <w:t>开展技术评审，出具技术评审意见</w:t>
      </w:r>
      <w:r>
        <w:rPr>
          <w:rFonts w:hint="eastAsia" w:ascii="宋体" w:hAnsi="宋体" w:cs="宋体"/>
          <w:sz w:val="24"/>
          <w:szCs w:val="24"/>
        </w:rPr>
        <w:t>3、技术服务的内容和要求：</w:t>
      </w:r>
      <w:r>
        <w:rPr>
          <w:rFonts w:hint="eastAsia" w:ascii="宋体" w:hAnsi="宋体" w:cs="宋体"/>
          <w:sz w:val="24"/>
          <w:szCs w:val="24"/>
          <w:u w:val="single"/>
        </w:rPr>
        <w:t>符合《中华人民共和国水土保持法》、《水利部生产建设项目水土保持方案技术评审细则（试行）》（办水保〔2018〕47号）规定和相关行业规范、标准和要求。</w:t>
      </w:r>
    </w:p>
    <w:p>
      <w:pPr>
        <w:spacing w:line="480" w:lineRule="exact"/>
        <w:ind w:firstLine="480" w:firstLineChars="200"/>
        <w:rPr>
          <w:rFonts w:hint="eastAsia" w:ascii="宋体" w:hAnsi="宋体" w:cs="宋体"/>
          <w:sz w:val="24"/>
          <w:szCs w:val="24"/>
          <w:u w:val="single"/>
        </w:rPr>
      </w:pPr>
      <w:r>
        <w:rPr>
          <w:rFonts w:hint="eastAsia" w:ascii="宋体" w:hAnsi="宋体" w:cs="宋体"/>
          <w:sz w:val="24"/>
          <w:szCs w:val="24"/>
        </w:rPr>
        <w:t>4、提供技术服务成果形式：</w:t>
      </w:r>
      <w:r>
        <w:rPr>
          <w:rFonts w:hint="eastAsia" w:ascii="宋体" w:hAnsi="宋体" w:cs="宋体"/>
          <w:sz w:val="24"/>
          <w:szCs w:val="24"/>
          <w:u w:val="single"/>
        </w:rPr>
        <w:t>技术审查意见。</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第三条  为保证乙方有效进行技术服务工作，甲方应向乙方提供必要的工作配合：</w:t>
      </w:r>
    </w:p>
    <w:p>
      <w:pPr>
        <w:spacing w:line="480" w:lineRule="exact"/>
        <w:rPr>
          <w:rFonts w:hint="eastAsia" w:ascii="宋体" w:hAnsi="宋体" w:cs="宋体"/>
          <w:sz w:val="24"/>
          <w:szCs w:val="24"/>
          <w:u w:val="single"/>
        </w:rPr>
      </w:pPr>
      <w:r>
        <w:rPr>
          <w:rFonts w:hint="eastAsia" w:ascii="宋体" w:hAnsi="宋体" w:cs="宋体"/>
          <w:sz w:val="24"/>
          <w:szCs w:val="24"/>
        </w:rPr>
        <w:t xml:space="preserve">    甲方提供工作条件和协作事宜的时间及方式：</w:t>
      </w:r>
      <w:r>
        <w:rPr>
          <w:rFonts w:hint="eastAsia" w:ascii="宋体" w:hAnsi="宋体" w:cs="宋体"/>
          <w:sz w:val="24"/>
          <w:szCs w:val="24"/>
          <w:u w:val="single"/>
        </w:rPr>
        <w:t>根据工作需要。</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第四条  甲方向乙方支付技术服务期限、报酬及支付方式：</w:t>
      </w:r>
    </w:p>
    <w:p>
      <w:pPr>
        <w:spacing w:line="480" w:lineRule="exact"/>
        <w:ind w:firstLine="570"/>
        <w:rPr>
          <w:rFonts w:hint="eastAsia" w:ascii="宋体" w:hAnsi="宋体" w:cs="宋体"/>
          <w:sz w:val="24"/>
          <w:szCs w:val="24"/>
        </w:rPr>
      </w:pPr>
      <w:r>
        <w:rPr>
          <w:rFonts w:hint="eastAsia" w:ascii="宋体" w:hAnsi="宋体" w:cs="宋体"/>
          <w:sz w:val="24"/>
          <w:szCs w:val="24"/>
        </w:rPr>
        <w:t>1、服务期限为:</w:t>
      </w:r>
      <w:r>
        <w:rPr>
          <w:rFonts w:hint="eastAsia" w:ascii="宋体" w:hAnsi="宋体" w:cs="宋体"/>
          <w:sz w:val="24"/>
          <w:szCs w:val="24"/>
          <w:highlight w:val="none"/>
          <w:u w:val="single"/>
        </w:rPr>
        <w:t>自合同签订之日起至</w:t>
      </w:r>
      <w:r>
        <w:rPr>
          <w:rFonts w:hint="eastAsia" w:ascii="宋体" w:hAnsi="宋体" w:cs="宋体"/>
          <w:sz w:val="24"/>
          <w:szCs w:val="24"/>
          <w:highlight w:val="none"/>
          <w:u w:val="single"/>
          <w:lang w:val="en-US" w:eastAsia="zh-CN"/>
        </w:rPr>
        <w:t>2022</w:t>
      </w:r>
      <w:r>
        <w:rPr>
          <w:rFonts w:hint="eastAsia" w:ascii="宋体" w:hAnsi="宋体" w:cs="宋体"/>
          <w:sz w:val="24"/>
          <w:szCs w:val="24"/>
          <w:highlight w:val="none"/>
          <w:u w:val="single"/>
        </w:rPr>
        <w:t>年</w:t>
      </w:r>
      <w:r>
        <w:rPr>
          <w:rFonts w:hint="eastAsia" w:ascii="宋体" w:hAnsi="宋体" w:cs="宋体"/>
          <w:sz w:val="24"/>
          <w:szCs w:val="24"/>
          <w:highlight w:val="none"/>
          <w:u w:val="single"/>
          <w:lang w:val="en-US" w:eastAsia="zh-CN"/>
        </w:rPr>
        <w:t>12</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31</w:t>
      </w:r>
      <w:r>
        <w:rPr>
          <w:rFonts w:hint="eastAsia" w:ascii="宋体" w:hAnsi="宋体" w:cs="宋体"/>
          <w:sz w:val="24"/>
          <w:szCs w:val="24"/>
          <w:highlight w:val="none"/>
          <w:u w:val="single"/>
        </w:rPr>
        <w:t>日</w:t>
      </w:r>
      <w:r>
        <w:rPr>
          <w:rFonts w:hint="eastAsia" w:ascii="宋体" w:hAnsi="宋体" w:cs="宋体"/>
          <w:sz w:val="24"/>
          <w:szCs w:val="24"/>
          <w:highlight w:val="none"/>
        </w:rPr>
        <w:t>。</w:t>
      </w:r>
    </w:p>
    <w:p>
      <w:pPr>
        <w:spacing w:line="480" w:lineRule="exact"/>
        <w:ind w:firstLine="570"/>
        <w:rPr>
          <w:rFonts w:hint="eastAsia" w:ascii="宋体" w:hAnsi="宋体" w:cs="宋体"/>
          <w:sz w:val="24"/>
          <w:szCs w:val="24"/>
        </w:rPr>
      </w:pPr>
      <w:r>
        <w:rPr>
          <w:rFonts w:hint="eastAsia" w:ascii="宋体" w:hAnsi="宋体" w:cs="宋体"/>
          <w:sz w:val="24"/>
          <w:szCs w:val="24"/>
        </w:rPr>
        <w:t>2、技术服务费为：</w:t>
      </w:r>
    </w:p>
    <w:p>
      <w:pPr>
        <w:spacing w:line="480" w:lineRule="exact"/>
        <w:ind w:firstLine="570"/>
        <w:rPr>
          <w:rFonts w:hint="eastAsia" w:ascii="宋体" w:hAnsi="宋体" w:eastAsia="宋体" w:cs="宋体"/>
          <w:sz w:val="24"/>
          <w:szCs w:val="24"/>
          <w:lang w:eastAsia="zh-CN"/>
        </w:rPr>
      </w:pPr>
      <w:r>
        <w:rPr>
          <w:rFonts w:ascii="Calibri" w:hAnsi="Calibri" w:cs="Calibri"/>
          <w:sz w:val="24"/>
          <w:szCs w:val="24"/>
        </w:rPr>
        <w:t>①</w:t>
      </w:r>
      <w:r>
        <w:rPr>
          <w:rFonts w:hint="eastAsia" w:ascii="宋体" w:hAnsi="宋体" w:cs="宋体"/>
          <w:sz w:val="24"/>
          <w:szCs w:val="24"/>
        </w:rPr>
        <w:t xml:space="preserve">方案报告书 </w:t>
      </w:r>
      <w:r>
        <w:rPr>
          <w:rFonts w:hint="eastAsia" w:ascii="宋体" w:hAnsi="宋体" w:cs="宋体"/>
          <w:sz w:val="24"/>
          <w:szCs w:val="24"/>
          <w:u w:val="single"/>
        </w:rPr>
        <w:t xml:space="preserve">      </w:t>
      </w:r>
      <w:r>
        <w:rPr>
          <w:rFonts w:hint="eastAsia" w:ascii="宋体" w:hAnsi="宋体" w:cs="宋体"/>
          <w:sz w:val="24"/>
          <w:szCs w:val="24"/>
        </w:rPr>
        <w:t>元/项（需要现场踏勘类型）</w:t>
      </w:r>
      <w:r>
        <w:rPr>
          <w:rFonts w:hint="eastAsia" w:ascii="宋体" w:hAnsi="宋体" w:cs="宋体"/>
          <w:sz w:val="24"/>
          <w:szCs w:val="24"/>
          <w:lang w:eastAsia="zh-CN"/>
        </w:rPr>
        <w:t>。</w:t>
      </w:r>
    </w:p>
    <w:p>
      <w:pPr>
        <w:spacing w:line="480" w:lineRule="exact"/>
        <w:ind w:firstLine="570"/>
        <w:rPr>
          <w:rFonts w:hint="eastAsia" w:ascii="宋体" w:hAnsi="宋体" w:cs="宋体"/>
          <w:sz w:val="24"/>
          <w:szCs w:val="24"/>
        </w:rPr>
      </w:pPr>
      <w:r>
        <w:rPr>
          <w:rFonts w:hint="eastAsia" w:ascii="宋体" w:hAnsi="宋体" w:cs="宋体"/>
          <w:sz w:val="24"/>
          <w:szCs w:val="24"/>
        </w:rPr>
        <w:t>3、支付方式</w:t>
      </w:r>
      <w:r>
        <w:rPr>
          <w:rFonts w:hint="eastAsia" w:ascii="宋体" w:hAnsi="宋体" w:cs="宋体"/>
          <w:sz w:val="24"/>
          <w:szCs w:val="24"/>
          <w:highlight w:val="none"/>
        </w:rPr>
        <w:t>：</w:t>
      </w:r>
      <w:r>
        <w:rPr>
          <w:rFonts w:hint="eastAsia" w:ascii="宋体" w:hAnsi="宋体" w:cs="宋体"/>
          <w:sz w:val="24"/>
          <w:szCs w:val="24"/>
          <w:lang w:val="en-US" w:eastAsia="zh-CN"/>
        </w:rPr>
        <w:t>合同签订后待国拨预算资金下达后根据项目数据实结算。</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4、甲方应按本合同规定的金额和日期向乙方支付费用，逾期超过15天以上时，乙方有权暂停履行下阶段工作，并书面通知甲方。</w:t>
      </w:r>
    </w:p>
    <w:p>
      <w:pPr>
        <w:tabs>
          <w:tab w:val="left" w:pos="565"/>
        </w:tabs>
        <w:spacing w:line="480" w:lineRule="exact"/>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rPr>
        <w:tab/>
      </w:r>
      <w:r>
        <w:rPr>
          <w:rFonts w:hint="eastAsia" w:ascii="宋体" w:hAnsi="宋体" w:cs="宋体"/>
          <w:sz w:val="24"/>
          <w:szCs w:val="24"/>
        </w:rPr>
        <w:t>、乙方开户行与账号：</w:t>
      </w:r>
    </w:p>
    <w:p>
      <w:pPr>
        <w:spacing w:line="480" w:lineRule="exact"/>
        <w:ind w:left="840" w:leftChars="400" w:right="-21" w:rightChars="-10"/>
        <w:jc w:val="left"/>
        <w:rPr>
          <w:rFonts w:hint="eastAsia" w:ascii="宋体" w:hAnsi="宋体" w:cs="宋体"/>
          <w:b/>
          <w:bCs/>
          <w:sz w:val="24"/>
          <w:szCs w:val="24"/>
        </w:rPr>
      </w:pPr>
      <w:r>
        <w:rPr>
          <w:rFonts w:hint="eastAsia" w:ascii="宋体" w:hAnsi="宋体" w:cs="宋体"/>
          <w:b/>
          <w:bCs/>
          <w:sz w:val="24"/>
          <w:szCs w:val="24"/>
        </w:rPr>
        <w:t>户  名:</w:t>
      </w:r>
    </w:p>
    <w:p>
      <w:pPr>
        <w:spacing w:line="480" w:lineRule="exact"/>
        <w:ind w:left="840" w:leftChars="400" w:right="-21" w:rightChars="-10"/>
        <w:jc w:val="left"/>
        <w:rPr>
          <w:rFonts w:hint="eastAsia" w:ascii="宋体" w:hAnsi="宋体" w:cs="宋体"/>
          <w:b/>
          <w:bCs/>
          <w:sz w:val="24"/>
          <w:szCs w:val="24"/>
        </w:rPr>
      </w:pPr>
      <w:r>
        <w:rPr>
          <w:rFonts w:hint="eastAsia" w:ascii="宋体" w:hAnsi="宋体" w:cs="宋体"/>
          <w:b/>
          <w:bCs/>
          <w:sz w:val="24"/>
          <w:szCs w:val="24"/>
        </w:rPr>
        <w:t>开户行:</w:t>
      </w:r>
    </w:p>
    <w:p>
      <w:pPr>
        <w:spacing w:line="480" w:lineRule="exact"/>
        <w:ind w:left="840" w:leftChars="400" w:right="-21" w:rightChars="-10"/>
        <w:jc w:val="left"/>
        <w:rPr>
          <w:rFonts w:hint="eastAsia" w:ascii="宋体" w:hAnsi="宋体" w:cs="宋体"/>
          <w:b/>
          <w:bCs/>
          <w:sz w:val="24"/>
          <w:szCs w:val="24"/>
        </w:rPr>
      </w:pPr>
      <w:r>
        <w:rPr>
          <w:rFonts w:hint="eastAsia" w:ascii="宋体" w:hAnsi="宋体" w:cs="宋体"/>
          <w:b/>
          <w:bCs/>
          <w:sz w:val="24"/>
          <w:szCs w:val="24"/>
        </w:rPr>
        <w:t>账  号:</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第五条  双方确定因履行本合同遵守的保密义务如下：</w:t>
      </w:r>
    </w:p>
    <w:p>
      <w:pPr>
        <w:spacing w:line="480" w:lineRule="exact"/>
        <w:ind w:firstLine="570"/>
        <w:rPr>
          <w:rFonts w:hint="eastAsia" w:ascii="宋体" w:hAnsi="宋体" w:cs="宋体"/>
          <w:sz w:val="24"/>
          <w:szCs w:val="24"/>
        </w:rPr>
      </w:pPr>
      <w:r>
        <w:rPr>
          <w:rFonts w:hint="eastAsia" w:ascii="宋体" w:hAnsi="宋体" w:cs="宋体"/>
          <w:sz w:val="24"/>
          <w:szCs w:val="24"/>
        </w:rPr>
        <w:t>1、甲方：保密内容、期限、责任（包括技术信息和经营信息）：</w:t>
      </w:r>
    </w:p>
    <w:p>
      <w:pPr>
        <w:spacing w:line="480" w:lineRule="exact"/>
        <w:ind w:firstLine="480" w:firstLineChars="200"/>
        <w:rPr>
          <w:rFonts w:hint="eastAsia" w:ascii="宋体" w:hAnsi="宋体" w:cs="宋体"/>
          <w:sz w:val="24"/>
          <w:szCs w:val="24"/>
          <w:u w:val="single"/>
        </w:rPr>
      </w:pPr>
      <w:r>
        <w:rPr>
          <w:rFonts w:hint="eastAsia" w:ascii="宋体" w:hAnsi="宋体" w:cs="宋体"/>
          <w:sz w:val="24"/>
          <w:szCs w:val="24"/>
          <w:u w:val="single"/>
        </w:rPr>
        <w:t>对乙方提供的各类技术成果（文字、图纸等）均应保密、未经乙方许可不得外传、不得用于本项目以外的其他项目。</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2、乙方：保密内容、期限、责任（包括技术信息和经营信息）：</w:t>
      </w:r>
    </w:p>
    <w:p>
      <w:pPr>
        <w:spacing w:line="480" w:lineRule="exact"/>
        <w:ind w:firstLine="480" w:firstLineChars="200"/>
        <w:rPr>
          <w:rFonts w:hint="eastAsia" w:ascii="宋体" w:hAnsi="宋体" w:cs="宋体"/>
          <w:sz w:val="24"/>
          <w:szCs w:val="24"/>
          <w:u w:val="single"/>
        </w:rPr>
      </w:pPr>
      <w:r>
        <w:rPr>
          <w:rFonts w:hint="eastAsia" w:ascii="宋体" w:hAnsi="宋体" w:cs="宋体"/>
          <w:sz w:val="24"/>
          <w:szCs w:val="24"/>
          <w:u w:val="single"/>
        </w:rPr>
        <w:t>对甲方提供的各类技术资料均应保密，未经甲方许可不得外传、不得用于本项目以外的其他项目。</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第六条  在本合同有效期内，乙方利用甲方提供的技术资料和工作条件所完成的新的技术成果，归甲、乙双方共同所有。</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第七条  对任何一方违反本合同约定的行为，违约的一方应支付给另一方违约金贰万元。</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第八条  因履行本合同而发生的争议，应协商、调解解决。协商调解不成的，可提交合同签订地人民法院裁决。</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第九条  本合同一式</w:t>
      </w:r>
      <w:r>
        <w:rPr>
          <w:rFonts w:hint="eastAsia" w:ascii="宋体" w:hAnsi="宋体" w:cs="宋体"/>
          <w:sz w:val="24"/>
          <w:szCs w:val="24"/>
          <w:u w:val="single"/>
        </w:rPr>
        <w:t>肆</w:t>
      </w:r>
      <w:r>
        <w:rPr>
          <w:rFonts w:hint="eastAsia" w:ascii="宋体" w:hAnsi="宋体" w:cs="宋体"/>
          <w:sz w:val="24"/>
          <w:szCs w:val="24"/>
        </w:rPr>
        <w:t>份，甲方、乙方各执</w:t>
      </w:r>
      <w:r>
        <w:rPr>
          <w:rFonts w:hint="eastAsia" w:ascii="宋体" w:hAnsi="宋体" w:cs="宋体"/>
          <w:sz w:val="24"/>
          <w:szCs w:val="24"/>
          <w:u w:val="single"/>
        </w:rPr>
        <w:t>贰</w:t>
      </w:r>
      <w:r>
        <w:rPr>
          <w:rFonts w:hint="eastAsia" w:ascii="宋体" w:hAnsi="宋体" w:cs="宋体"/>
          <w:sz w:val="24"/>
          <w:szCs w:val="24"/>
        </w:rPr>
        <w:t>份。</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第十条  本合同经双方签字盖章后生效，合同履行完毕终止。</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第十一条  特别约定：未尽事宜，甲乙双方协商解决。</w:t>
      </w:r>
    </w:p>
    <w:p>
      <w:pPr>
        <w:pStyle w:val="19"/>
        <w:rPr>
          <w:rFonts w:hint="eastAsia" w:ascii="宋体" w:hAnsi="宋体" w:cs="宋体"/>
          <w:sz w:val="24"/>
          <w:szCs w:val="24"/>
        </w:rPr>
      </w:pPr>
    </w:p>
    <w:p>
      <w:pPr>
        <w:tabs>
          <w:tab w:val="left" w:pos="5580"/>
        </w:tabs>
        <w:spacing w:line="510" w:lineRule="exact"/>
        <w:ind w:left="420" w:leftChars="200"/>
        <w:rPr>
          <w:rFonts w:hint="eastAsia" w:ascii="宋体" w:hAnsi="宋体" w:cs="宋体"/>
          <w:sz w:val="24"/>
          <w:szCs w:val="24"/>
        </w:rPr>
      </w:pPr>
    </w:p>
    <w:p>
      <w:pPr>
        <w:tabs>
          <w:tab w:val="left" w:pos="5580"/>
        </w:tabs>
        <w:spacing w:line="510" w:lineRule="exact"/>
        <w:ind w:left="420" w:leftChars="200"/>
        <w:rPr>
          <w:rFonts w:hint="eastAsia" w:ascii="宋体" w:hAnsi="宋体" w:cs="宋体"/>
          <w:sz w:val="24"/>
          <w:szCs w:val="24"/>
        </w:rPr>
      </w:pPr>
    </w:p>
    <w:p>
      <w:pPr>
        <w:tabs>
          <w:tab w:val="left" w:pos="5580"/>
        </w:tabs>
        <w:spacing w:line="510" w:lineRule="exact"/>
        <w:ind w:left="420" w:leftChars="200"/>
        <w:rPr>
          <w:rFonts w:hint="eastAsia" w:ascii="宋体" w:hAnsi="宋体" w:cs="宋体"/>
          <w:sz w:val="24"/>
          <w:szCs w:val="24"/>
        </w:rPr>
      </w:pPr>
    </w:p>
    <w:p>
      <w:pPr>
        <w:tabs>
          <w:tab w:val="left" w:pos="5580"/>
        </w:tabs>
        <w:spacing w:line="510" w:lineRule="exact"/>
        <w:ind w:left="420" w:leftChars="200"/>
        <w:rPr>
          <w:rFonts w:hint="eastAsia" w:ascii="宋体" w:hAnsi="宋体" w:cs="宋体"/>
          <w:sz w:val="24"/>
          <w:szCs w:val="24"/>
        </w:rPr>
      </w:pPr>
      <w:r>
        <w:rPr>
          <w:rFonts w:hint="eastAsia" w:ascii="宋体" w:hAnsi="宋体" w:cs="宋体"/>
          <w:sz w:val="24"/>
          <w:szCs w:val="24"/>
        </w:rPr>
        <w:t>甲方（盖章）：                    乙方（盖章）：</w:t>
      </w:r>
    </w:p>
    <w:p>
      <w:pPr>
        <w:spacing w:line="510" w:lineRule="exact"/>
        <w:ind w:left="420" w:leftChars="200"/>
        <w:rPr>
          <w:rFonts w:hint="eastAsia" w:ascii="宋体" w:hAnsi="宋体" w:cs="宋体"/>
          <w:sz w:val="24"/>
          <w:szCs w:val="24"/>
        </w:rPr>
      </w:pPr>
    </w:p>
    <w:p>
      <w:pPr>
        <w:spacing w:line="510" w:lineRule="exact"/>
        <w:ind w:left="420" w:leftChars="200"/>
        <w:rPr>
          <w:rFonts w:hint="eastAsia" w:ascii="宋体" w:hAnsi="宋体" w:cs="宋体"/>
          <w:sz w:val="24"/>
          <w:szCs w:val="24"/>
        </w:rPr>
      </w:pPr>
      <w:r>
        <w:rPr>
          <w:rFonts w:hint="eastAsia" w:ascii="宋体" w:hAnsi="宋体" w:cs="宋体"/>
          <w:sz w:val="24"/>
          <w:szCs w:val="24"/>
        </w:rPr>
        <w:t>法人或委托代理人：              法人或委托代理人：</w:t>
      </w:r>
    </w:p>
    <w:p>
      <w:pPr>
        <w:spacing w:line="510" w:lineRule="exact"/>
        <w:ind w:left="420" w:leftChars="200" w:firstLine="480" w:firstLineChars="200"/>
        <w:rPr>
          <w:rFonts w:hint="eastAsia" w:ascii="宋体" w:hAnsi="宋体" w:cs="宋体"/>
          <w:sz w:val="24"/>
          <w:szCs w:val="24"/>
        </w:rPr>
      </w:pPr>
    </w:p>
    <w:p>
      <w:pPr>
        <w:spacing w:line="510" w:lineRule="exact"/>
        <w:ind w:left="420" w:leftChars="200"/>
        <w:rPr>
          <w:rFonts w:hint="eastAsia" w:ascii="宋体" w:hAnsi="宋体" w:cs="宋体"/>
          <w:sz w:val="24"/>
          <w:szCs w:val="24"/>
        </w:rPr>
      </w:pPr>
      <w:r>
        <w:rPr>
          <w:rFonts w:hint="eastAsia" w:ascii="宋体" w:hAnsi="宋体" w:cs="宋体"/>
          <w:sz w:val="24"/>
          <w:szCs w:val="24"/>
        </w:rPr>
        <w:t>日期：   年   月   日           日期：   年   月   日</w:t>
      </w:r>
    </w:p>
    <w:p/>
    <w:p/>
    <w:p>
      <w:pPr>
        <w:rPr>
          <w:sz w:val="28"/>
          <w:szCs w:val="28"/>
        </w:rPr>
      </w:pPr>
      <w:r>
        <w:rPr>
          <w:rFonts w:hint="eastAsia"/>
          <w:sz w:val="28"/>
          <w:szCs w:val="28"/>
        </w:rPr>
        <w:br w:type="page"/>
      </w: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bookmarkEnd w:id="31"/>
    <w:bookmarkEnd w:id="32"/>
    <w:p>
      <w:pPr>
        <w:pageBreakBefore w:val="0"/>
        <w:widowControl w:val="0"/>
        <w:numPr>
          <w:ilvl w:val="0"/>
          <w:numId w:val="2"/>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pStyle w:val="9"/>
        <w:bidi w:val="0"/>
        <w:ind w:left="420" w:leftChars="200" w:firstLine="0" w:firstLineChars="0"/>
        <w:rPr>
          <w:rFonts w:hint="eastAsia"/>
          <w:color w:val="auto"/>
        </w:rPr>
      </w:pPr>
      <w:bookmarkStart w:id="36" w:name="_Toc4288_WPSOffice_Level1"/>
      <w:bookmarkStart w:id="37" w:name="_Toc11297"/>
      <w:r>
        <w:rPr>
          <w:rFonts w:hint="eastAsia"/>
          <w:color w:val="auto"/>
          <w:lang w:val="en-US" w:eastAsia="zh-CN"/>
        </w:rPr>
        <w:t>一、</w:t>
      </w:r>
      <w:r>
        <w:rPr>
          <w:rFonts w:hint="eastAsia"/>
          <w:color w:val="auto"/>
        </w:rPr>
        <w:t>项目概况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生产建设项目水土保持方案审批是水</w:t>
      </w:r>
      <w:r>
        <w:rPr>
          <w:rFonts w:hint="eastAsia" w:ascii="宋体" w:hAnsi="宋体" w:cs="宋体"/>
          <w:color w:val="auto"/>
          <w:sz w:val="24"/>
          <w:szCs w:val="24"/>
          <w:lang w:eastAsia="zh-CN"/>
        </w:rPr>
        <w:t>行政主管部门</w:t>
      </w:r>
      <w:r>
        <w:rPr>
          <w:rFonts w:hint="eastAsia" w:ascii="宋体" w:hAnsi="宋体" w:eastAsia="宋体" w:cs="宋体"/>
          <w:color w:val="auto"/>
          <w:sz w:val="24"/>
          <w:szCs w:val="24"/>
        </w:rPr>
        <w:t>实施的一项独立行政许可事项。水土保持方案技术评审是水</w:t>
      </w:r>
      <w:r>
        <w:rPr>
          <w:rFonts w:hint="eastAsia" w:ascii="宋体" w:hAnsi="宋体" w:cs="宋体"/>
          <w:color w:val="auto"/>
          <w:sz w:val="24"/>
          <w:szCs w:val="24"/>
          <w:lang w:eastAsia="zh-CN"/>
        </w:rPr>
        <w:t>行政主管部门</w:t>
      </w:r>
      <w:r>
        <w:rPr>
          <w:rFonts w:hint="eastAsia" w:ascii="宋体" w:hAnsi="宋体" w:eastAsia="宋体" w:cs="宋体"/>
          <w:color w:val="auto"/>
          <w:sz w:val="24"/>
          <w:szCs w:val="24"/>
        </w:rPr>
        <w:t>作出水土保持方案审批决定的技术支撑和基本依据。根据《国务院关于第一批清理规范89项国务院部门行政审批中介服务事项的决定》（国发〔2015〕58号）精神和水利部《开发建设项目水土保持方案编报审批管理规定》要求，有审批权的水行政主管部门受理生产建设项目水土保持方案审批申请后，应当依据有关法律、法规和技术规范组织审查，或者委托有关机构进行技术评审。</w:t>
      </w:r>
      <w:r>
        <w:rPr>
          <w:rFonts w:hint="eastAsia" w:ascii="宋体" w:hAnsi="宋体" w:eastAsia="宋体" w:cs="宋体"/>
          <w:color w:val="auto"/>
          <w:sz w:val="24"/>
          <w:szCs w:val="24"/>
          <w:lang w:val="en-US" w:eastAsia="zh-CN"/>
        </w:rPr>
        <w:t>本次</w:t>
      </w:r>
      <w:r>
        <w:rPr>
          <w:rFonts w:hint="eastAsia" w:ascii="宋体" w:hAnsi="宋体" w:eastAsia="宋体" w:cs="宋体"/>
          <w:color w:val="auto"/>
          <w:sz w:val="24"/>
          <w:szCs w:val="24"/>
        </w:rPr>
        <w:t>采购</w:t>
      </w:r>
      <w:r>
        <w:rPr>
          <w:rFonts w:hint="eastAsia" w:ascii="宋体" w:hAnsi="宋体" w:eastAsia="宋体" w:cs="宋体"/>
          <w:color w:val="auto"/>
          <w:sz w:val="24"/>
          <w:szCs w:val="24"/>
          <w:lang w:val="en-US" w:eastAsia="zh-CN"/>
        </w:rPr>
        <w:t>为</w:t>
      </w:r>
      <w:r>
        <w:rPr>
          <w:rFonts w:hint="eastAsia" w:ascii="宋体" w:hAnsi="宋体" w:cs="宋体"/>
          <w:color w:val="auto"/>
          <w:sz w:val="24"/>
          <w:szCs w:val="24"/>
          <w:lang w:val="en-US" w:eastAsia="zh-CN"/>
        </w:rPr>
        <w:t>霍山县2022年度生产建设项目水土保持方案技术评审服务</w:t>
      </w:r>
      <w:r>
        <w:rPr>
          <w:rFonts w:hint="eastAsia" w:ascii="宋体" w:hAnsi="宋体" w:eastAsia="宋体" w:cs="宋体"/>
          <w:color w:val="auto"/>
          <w:sz w:val="24"/>
          <w:szCs w:val="24"/>
        </w:rPr>
        <w:t>。</w:t>
      </w:r>
    </w:p>
    <w:p>
      <w:pPr>
        <w:pStyle w:val="9"/>
        <w:numPr>
          <w:ilvl w:val="0"/>
          <w:numId w:val="0"/>
        </w:numPr>
        <w:bidi w:val="0"/>
        <w:ind w:leftChars="200"/>
        <w:rPr>
          <w:rFonts w:hint="eastAsia"/>
          <w:color w:val="auto"/>
        </w:rPr>
      </w:pPr>
      <w:r>
        <w:rPr>
          <w:rFonts w:hint="eastAsia"/>
          <w:color w:val="auto"/>
          <w:lang w:val="en-US" w:eastAsia="zh-CN"/>
        </w:rPr>
        <w:t>二、</w:t>
      </w:r>
      <w:r>
        <w:rPr>
          <w:rFonts w:hint="eastAsia"/>
          <w:color w:val="auto"/>
        </w:rPr>
        <w:t>服务需求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1、采购内容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采购项目的主要工作内容是按照水土保持法律法规、技术规范和有关文件规定，开展</w:t>
      </w:r>
      <w:r>
        <w:rPr>
          <w:rFonts w:hint="eastAsia" w:ascii="宋体" w:hAnsi="宋体" w:cs="宋体"/>
          <w:color w:val="auto"/>
          <w:sz w:val="24"/>
          <w:szCs w:val="24"/>
          <w:lang w:eastAsia="zh-CN"/>
        </w:rPr>
        <w:t>霍山县水务局</w:t>
      </w:r>
      <w:r>
        <w:rPr>
          <w:rFonts w:hint="eastAsia" w:ascii="宋体" w:hAnsi="宋体" w:eastAsia="宋体" w:cs="宋体"/>
          <w:color w:val="auto"/>
          <w:sz w:val="24"/>
          <w:szCs w:val="24"/>
        </w:rPr>
        <w:t>审批生产建设项目水土保持方案（含变更）的技术评审工作，提出每个已受理水土保持方案的技术评审意见（应在</w:t>
      </w:r>
      <w:r>
        <w:rPr>
          <w:rFonts w:hint="eastAsia" w:ascii="宋体" w:hAnsi="宋体" w:eastAsia="宋体" w:cs="宋体"/>
          <w:color w:val="auto"/>
          <w:sz w:val="24"/>
          <w:szCs w:val="24"/>
          <w:lang w:val="en-US" w:eastAsia="zh-CN"/>
        </w:rPr>
        <w:t>霍山县水务局</w:t>
      </w:r>
      <w:r>
        <w:rPr>
          <w:rFonts w:hint="eastAsia" w:ascii="宋体" w:hAnsi="宋体" w:eastAsia="宋体" w:cs="宋体"/>
          <w:color w:val="auto"/>
          <w:sz w:val="24"/>
          <w:szCs w:val="24"/>
        </w:rPr>
        <w:t>出具转办单后的 15 个工作日内完成），明确水土保持方案是否满足批准条件。具体工作内容：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（1）根据水土保持相关法律法规和</w:t>
      </w:r>
      <w:r>
        <w:rPr>
          <w:rFonts w:hint="eastAsia" w:ascii="宋体" w:hAnsi="宋体" w:cs="宋体"/>
          <w:color w:val="auto"/>
          <w:sz w:val="24"/>
          <w:szCs w:val="24"/>
          <w:lang w:eastAsia="zh-CN"/>
        </w:rPr>
        <w:t>技术规范，以及</w:t>
      </w:r>
      <w:r>
        <w:rPr>
          <w:rFonts w:hint="eastAsia" w:ascii="宋体" w:hAnsi="宋体" w:eastAsia="宋体" w:cs="宋体"/>
          <w:color w:val="auto"/>
          <w:sz w:val="24"/>
          <w:szCs w:val="24"/>
        </w:rPr>
        <w:t>水利部、省</w:t>
      </w:r>
      <w:r>
        <w:rPr>
          <w:rFonts w:hint="eastAsia" w:ascii="宋体" w:hAnsi="宋体" w:cs="宋体"/>
          <w:color w:val="auto"/>
          <w:sz w:val="24"/>
          <w:szCs w:val="24"/>
          <w:lang w:eastAsia="zh-CN"/>
        </w:rPr>
        <w:t>水利厅、六安市水利局等有关要求开展</w:t>
      </w:r>
      <w:r>
        <w:rPr>
          <w:rFonts w:hint="eastAsia" w:ascii="宋体" w:hAnsi="宋体" w:eastAsia="宋体" w:cs="宋体"/>
          <w:color w:val="auto"/>
          <w:sz w:val="24"/>
          <w:szCs w:val="24"/>
        </w:rPr>
        <w:t>关于生产建设项目水土保持方案</w:t>
      </w:r>
      <w:r>
        <w:rPr>
          <w:rFonts w:hint="eastAsia" w:ascii="宋体" w:hAnsi="宋体" w:cs="宋体"/>
          <w:color w:val="auto"/>
          <w:sz w:val="24"/>
          <w:szCs w:val="24"/>
          <w:lang w:eastAsia="zh-CN"/>
        </w:rPr>
        <w:t>的技术评审服务工作</w:t>
      </w:r>
      <w:r>
        <w:rPr>
          <w:rFonts w:hint="eastAsia" w:ascii="宋体" w:hAnsi="宋体" w:eastAsia="宋体" w:cs="宋体"/>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根据生产建设项目与水土保持有关的施工工艺及可能产生水土流失的隐患程度和项目规模及复杂性，确定安排评审专家的类型、数量和是否需考察工程现场；对设有大中型弃渣场、涉及生态红线及水土流失重点防治区等复杂性的项目必须现场查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（3）根据</w:t>
      </w:r>
      <w:r>
        <w:rPr>
          <w:rFonts w:hint="eastAsia" w:ascii="宋体" w:hAnsi="宋体" w:eastAsia="宋体" w:cs="宋体"/>
          <w:color w:val="auto"/>
          <w:sz w:val="24"/>
          <w:szCs w:val="24"/>
          <w:lang w:val="en-US" w:eastAsia="zh-CN"/>
        </w:rPr>
        <w:t>霍山县水务局</w:t>
      </w:r>
      <w:r>
        <w:rPr>
          <w:rFonts w:hint="eastAsia" w:ascii="宋体" w:hAnsi="宋体" w:eastAsia="宋体" w:cs="宋体"/>
          <w:color w:val="auto"/>
          <w:sz w:val="24"/>
          <w:szCs w:val="24"/>
        </w:rPr>
        <w:t>技术评审任务安排，及时提出评审会议安排表，通知参建单位和方案编制单位，并提前 3 天将方案资料送至每位评审专家，会前提出审查意见。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（4）组织评审专家考察工程现场。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（5）组织召开技术评审会议，严格执行水土保持法律法规、相关规范性文件和规范标准等要求，严守生态红线，将形成专家评审意见反馈给建设单位进行修改完善；并整理归档每宗生产建设项目评审会议资料。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（6）对按专家意见修改形成的报批稿初稿进行技术复核，复核合格的出具技术审查意见。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（7）协助</w:t>
      </w:r>
      <w:r>
        <w:rPr>
          <w:rFonts w:hint="eastAsia" w:ascii="宋体" w:hAnsi="宋体" w:cs="宋体"/>
          <w:color w:val="auto"/>
          <w:sz w:val="24"/>
          <w:szCs w:val="24"/>
          <w:lang w:eastAsia="zh-CN"/>
        </w:rPr>
        <w:t>县水务局和</w:t>
      </w:r>
      <w:r>
        <w:rPr>
          <w:rFonts w:hint="eastAsia" w:ascii="宋体" w:hAnsi="宋体" w:eastAsia="宋体" w:cs="宋体"/>
          <w:color w:val="auto"/>
          <w:sz w:val="24"/>
          <w:szCs w:val="24"/>
        </w:rPr>
        <w:t>有关单位，按要求录入生产建设项目相关信息资料。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2、采购成果提交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（1）合同期评审项目转办单。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（2）合同期评审项目统计表（按支付进度上报），表中应含下列内容：转办单号、是否查勘、评审时间、审查是否通过、技术审查意见发文时间等。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（3）合同期履约情况工作报告（年度总结和合同期总结）。</w:t>
      </w:r>
    </w:p>
    <w:p>
      <w:pPr>
        <w:pStyle w:val="10"/>
        <w:numPr>
          <w:ilvl w:val="0"/>
          <w:numId w:val="3"/>
        </w:numPr>
        <w:bidi w:val="0"/>
        <w:ind w:left="420" w:leftChars="200" w:firstLine="0" w:firstLineChars="0"/>
        <w:rPr>
          <w:rFonts w:hint="eastAsia"/>
          <w:color w:val="auto"/>
        </w:rPr>
      </w:pPr>
      <w:r>
        <w:rPr>
          <w:rFonts w:hint="eastAsia"/>
          <w:color w:val="auto"/>
        </w:rPr>
        <w:t>报价要求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1.本项目报综合单价，按以下类型报综合单价：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（1）</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元/项（需要现场踏勘类型）</w:t>
      </w:r>
      <w:r>
        <w:rPr>
          <w:rFonts w:hint="eastAsia" w:ascii="宋体" w:hAnsi="宋体" w:cs="宋体"/>
          <w:color w:val="auto"/>
          <w:sz w:val="24"/>
          <w:szCs w:val="24"/>
          <w:highlight w:val="yellow"/>
          <w:lang w:val="en-US" w:eastAsia="zh-CN"/>
        </w:rPr>
        <w:t>*20项=</w:t>
      </w:r>
      <w:r>
        <w:rPr>
          <w:rFonts w:hint="eastAsia" w:ascii="宋体" w:hAnsi="宋体" w:cs="宋体"/>
          <w:color w:val="auto"/>
          <w:sz w:val="24"/>
          <w:szCs w:val="24"/>
          <w:highlight w:val="yellow"/>
          <w:u w:val="single"/>
          <w:lang w:val="en-US" w:eastAsia="zh-CN"/>
        </w:rPr>
        <w:t xml:space="preserve">    元 </w:t>
      </w:r>
      <w:r>
        <w:rPr>
          <w:rFonts w:hint="eastAsia" w:ascii="宋体" w:hAnsi="宋体" w:eastAsia="宋体" w:cs="宋体"/>
          <w:color w:val="auto"/>
          <w:sz w:val="24"/>
          <w:szCs w:val="24"/>
          <w:highlight w:val="yellow"/>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投标报价不得高于：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highlight w:val="yellow"/>
        </w:rPr>
        <w:t>（1）</w:t>
      </w:r>
      <w:r>
        <w:rPr>
          <w:rFonts w:hint="eastAsia" w:ascii="宋体" w:hAnsi="宋体" w:eastAsia="宋体" w:cs="宋体"/>
          <w:color w:val="auto"/>
          <w:sz w:val="24"/>
          <w:szCs w:val="24"/>
          <w:highlight w:val="yellow"/>
          <w:u w:val="single"/>
        </w:rPr>
        <w:t xml:space="preserve"> </w:t>
      </w:r>
      <w:r>
        <w:rPr>
          <w:rFonts w:hint="eastAsia" w:ascii="宋体" w:hAnsi="宋体" w:cs="宋体"/>
          <w:color w:val="auto"/>
          <w:sz w:val="24"/>
          <w:szCs w:val="24"/>
          <w:highlight w:val="yellow"/>
          <w:u w:val="single"/>
          <w:lang w:val="en-US" w:eastAsia="zh-CN"/>
        </w:rPr>
        <w:t>14750</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元/项（需要现场踏勘类型）</w:t>
      </w:r>
      <w:r>
        <w:rPr>
          <w:rFonts w:hint="eastAsia" w:ascii="宋体" w:hAnsi="宋体" w:cs="宋体"/>
          <w:color w:val="auto"/>
          <w:sz w:val="24"/>
          <w:szCs w:val="24"/>
          <w:highlight w:val="yellow"/>
          <w:lang w:val="en-US" w:eastAsia="zh-CN"/>
        </w:rPr>
        <w:t>*20项=</w:t>
      </w:r>
      <w:r>
        <w:rPr>
          <w:rFonts w:hint="eastAsia" w:ascii="宋体" w:hAnsi="宋体" w:cs="宋体"/>
          <w:strike w:val="0"/>
          <w:dstrike w:val="0"/>
          <w:color w:val="auto"/>
          <w:sz w:val="24"/>
          <w:szCs w:val="24"/>
          <w:highlight w:val="yellow"/>
          <w:u w:val="single"/>
          <w:lang w:val="en-US" w:eastAsia="zh-CN"/>
        </w:rPr>
        <w:t xml:space="preserve"> 295000.00元 </w:t>
      </w:r>
      <w:r>
        <w:rPr>
          <w:rFonts w:hint="eastAsia" w:ascii="宋体" w:hAnsi="宋体" w:eastAsia="宋体" w:cs="宋体"/>
          <w:color w:val="auto"/>
          <w:sz w:val="24"/>
          <w:szCs w:val="24"/>
          <w:highlight w:val="yellow"/>
        </w:rPr>
        <w:t>；</w:t>
      </w:r>
      <w:r>
        <w:rPr>
          <w:rFonts w:hint="eastAsia" w:ascii="宋体" w:hAnsi="宋体" w:eastAsia="宋体" w:cs="宋体"/>
          <w:b/>
          <w:bCs/>
          <w:color w:val="auto"/>
          <w:sz w:val="24"/>
          <w:szCs w:val="24"/>
        </w:rPr>
        <w:t>否则投标无效</w:t>
      </w:r>
      <w:r>
        <w:rPr>
          <w:rFonts w:hint="eastAsia" w:ascii="宋体" w:hAnsi="宋体" w:eastAsia="宋体" w:cs="宋体"/>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2.实际支付价格=中标单价×实际项目个数。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投标人的报价应含有所投服务的所有劳务、利润、税金、各类保险、补偿费、政策性及指导性文件规定及合同包含的所有风险、责任、义务等一切费用。中标单价一次性包死，不因具体项目内容变更而调整，投标人自行考虑报价风险。</w:t>
      </w:r>
    </w:p>
    <w:p>
      <w:pPr>
        <w:pStyle w:val="9"/>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color w:val="auto"/>
          <w:sz w:val="24"/>
          <w:szCs w:val="24"/>
        </w:rPr>
        <w:t>4.投标报价应包含为实施和完成合同所需的技术评审服务相关费用（含专家的咨询</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费、交通费、住宿费，会场费等）、办公费、印刷费、差旅费、租赁费、其他交通费、其他商品和服务支出等费用。</w:t>
      </w:r>
    </w:p>
    <w:p>
      <w:pPr>
        <w:pStyle w:val="9"/>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9"/>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9"/>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6"/>
      <w:bookmarkEnd w:id="37"/>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8"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8"/>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9" w:name="_Toc12631_WPSOffice_Level1"/>
      <w:r>
        <w:rPr>
          <w:rFonts w:hint="eastAsia" w:ascii="宋体" w:hAnsi="宋体" w:eastAsia="宋体" w:cs="宋体"/>
          <w:b/>
          <w:color w:val="auto"/>
          <w:sz w:val="44"/>
          <w:szCs w:val="44"/>
          <w:highlight w:val="none"/>
        </w:rPr>
        <w:t>响</w:t>
      </w:r>
      <w:bookmarkEnd w:id="39"/>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0" w:name="_Toc13194_WPSOffice_Level1"/>
      <w:r>
        <w:rPr>
          <w:rFonts w:hint="eastAsia" w:ascii="宋体" w:hAnsi="宋体" w:eastAsia="宋体" w:cs="宋体"/>
          <w:b/>
          <w:color w:val="auto"/>
          <w:sz w:val="44"/>
          <w:szCs w:val="44"/>
          <w:highlight w:val="none"/>
        </w:rPr>
        <w:t>应</w:t>
      </w:r>
      <w:bookmarkEnd w:id="40"/>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1" w:name="_Toc28638_WPSOffice_Level1"/>
      <w:r>
        <w:rPr>
          <w:rFonts w:hint="eastAsia" w:ascii="宋体" w:hAnsi="宋体" w:eastAsia="宋体" w:cs="宋体"/>
          <w:b/>
          <w:color w:val="auto"/>
          <w:sz w:val="44"/>
          <w:szCs w:val="44"/>
          <w:highlight w:val="none"/>
        </w:rPr>
        <w:t>文</w:t>
      </w:r>
      <w:bookmarkEnd w:id="41"/>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2" w:name="_Toc21450_WPSOffice_Level1"/>
      <w:r>
        <w:rPr>
          <w:rFonts w:hint="eastAsia" w:ascii="宋体" w:hAnsi="宋体" w:eastAsia="宋体" w:cs="宋体"/>
          <w:b/>
          <w:color w:val="auto"/>
          <w:sz w:val="44"/>
          <w:szCs w:val="44"/>
          <w:highlight w:val="none"/>
        </w:rPr>
        <w:t>件</w:t>
      </w:r>
      <w:bookmarkEnd w:id="42"/>
    </w:p>
    <w:p>
      <w:pPr>
        <w:pStyle w:val="3"/>
        <w:jc w:val="center"/>
        <w:rPr>
          <w:rFonts w:ascii="黑体"/>
          <w:color w:val="auto"/>
          <w:sz w:val="44"/>
          <w:highlight w:val="none"/>
          <w:u w:val="single"/>
        </w:rPr>
      </w:pPr>
      <w:bookmarkStart w:id="43" w:name="_Toc30778_WPSOffice_Level1"/>
      <w:r>
        <w:rPr>
          <w:rFonts w:hint="eastAsia" w:ascii="黑体" w:hAnsi="Times New Roman" w:eastAsia="黑体"/>
          <w:color w:val="auto"/>
          <w:kern w:val="2"/>
          <w:sz w:val="32"/>
          <w:szCs w:val="22"/>
          <w:highlight w:val="none"/>
          <w:u w:val="single"/>
        </w:rPr>
        <w:t>正本（副本）</w:t>
      </w:r>
      <w:bookmarkEnd w:id="43"/>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4"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4"/>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5"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5"/>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6"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6"/>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7"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7"/>
    </w:p>
    <w:p>
      <w:pPr>
        <w:jc w:val="center"/>
        <w:rPr>
          <w:rFonts w:hint="eastAsia"/>
          <w:b/>
          <w:bCs/>
          <w:color w:val="auto"/>
          <w:sz w:val="28"/>
          <w:szCs w:val="28"/>
          <w:highlight w:val="none"/>
        </w:rPr>
      </w:pPr>
      <w:bookmarkStart w:id="48"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8"/>
    </w:p>
    <w:p>
      <w:pPr>
        <w:adjustRightInd w:val="0"/>
        <w:snapToGrid w:val="0"/>
        <w:spacing w:line="240" w:lineRule="exact"/>
        <w:jc w:val="center"/>
        <w:rPr>
          <w:rFonts w:hint="eastAsia" w:ascii="宋体" w:hAnsi="宋体" w:eastAsia="宋体" w:cs="宋体"/>
          <w:b/>
          <w:color w:val="auto"/>
          <w:sz w:val="24"/>
          <w:highlight w:val="none"/>
        </w:rPr>
      </w:pPr>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default" w:ascii="Tahoma" w:hAnsi="Tahoma"/>
                <w:color w:val="auto"/>
                <w:sz w:val="21"/>
                <w:szCs w:val="21"/>
                <w:highlight w:val="none"/>
                <w:lang w:val="en-US" w:eastAsia="zh-CN"/>
              </w:rPr>
            </w:pPr>
            <w:r>
              <w:rPr>
                <w:rFonts w:hint="eastAsia" w:ascii="Tahoma" w:hAnsi="Tahoma"/>
                <w:color w:val="auto"/>
                <w:sz w:val="21"/>
                <w:szCs w:val="21"/>
                <w:highlight w:val="none"/>
                <w:lang w:val="en-US" w:eastAsia="zh-CN"/>
              </w:rPr>
              <w:t>四</w:t>
            </w:r>
          </w:p>
        </w:tc>
        <w:tc>
          <w:tcPr>
            <w:tcW w:w="5460" w:type="dxa"/>
            <w:vAlign w:val="center"/>
          </w:tcPr>
          <w:p>
            <w:pPr>
              <w:rPr>
                <w:rFonts w:hint="eastAsia" w:ascii="Tahoma" w:hAnsi="Tahoma" w:eastAsia="宋体" w:cs="Times New Roman"/>
                <w:color w:val="auto"/>
                <w:kern w:val="2"/>
                <w:sz w:val="21"/>
                <w:szCs w:val="21"/>
                <w:highlight w:val="none"/>
                <w:lang w:val="en-US" w:eastAsia="zh-CN" w:bidi="ar-SA"/>
              </w:rPr>
            </w:pPr>
            <w:r>
              <w:rPr>
                <w:rFonts w:hint="eastAsia" w:ascii="Tahoma" w:hAnsi="Tahoma" w:eastAsia="宋体" w:cs="Times New Roman"/>
                <w:color w:val="auto"/>
                <w:kern w:val="2"/>
                <w:sz w:val="21"/>
                <w:szCs w:val="21"/>
                <w:highlight w:val="none"/>
                <w:lang w:val="en-US" w:eastAsia="zh-CN" w:bidi="ar-SA"/>
              </w:rPr>
              <w:t>项目组成员一览表</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十</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3"/>
    <w:p>
      <w:pPr>
        <w:pStyle w:val="10"/>
        <w:adjustRightInd w:val="0"/>
        <w:snapToGrid w:val="0"/>
        <w:spacing w:before="0" w:after="0" w:line="360" w:lineRule="exact"/>
        <w:rPr>
          <w:rFonts w:hint="eastAsia" w:ascii="宋体" w:hAnsi="宋体" w:eastAsia="宋体" w:cs="宋体"/>
          <w:color w:val="auto"/>
          <w:sz w:val="21"/>
          <w:szCs w:val="21"/>
          <w:highlight w:val="none"/>
          <w:lang w:eastAsia="zh-CN"/>
        </w:rPr>
      </w:pPr>
      <w:bookmarkStart w:id="49" w:name="_Toc471299103"/>
      <w:bookmarkStart w:id="50" w:name="_Toc5932"/>
      <w:r>
        <w:rPr>
          <w:rFonts w:hint="eastAsia" w:ascii="宋体" w:hAnsi="宋体" w:eastAsia="宋体" w:cs="宋体"/>
          <w:color w:val="auto"/>
          <w:sz w:val="21"/>
          <w:szCs w:val="21"/>
          <w:highlight w:val="none"/>
        </w:rPr>
        <w:t>附件</w:t>
      </w:r>
      <w:bookmarkEnd w:id="49"/>
      <w:bookmarkEnd w:id="50"/>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51" w:name="_Toc10142_WPSOffice_Level1"/>
      <w:r>
        <w:rPr>
          <w:rFonts w:hint="eastAsia"/>
          <w:b/>
          <w:bCs/>
          <w:color w:val="auto"/>
          <w:sz w:val="28"/>
          <w:szCs w:val="28"/>
          <w:highlight w:val="none"/>
        </w:rPr>
        <w:t>供应商基本信息</w:t>
      </w:r>
      <w:bookmarkEnd w:id="51"/>
    </w:p>
    <w:p>
      <w:pPr>
        <w:pStyle w:val="2"/>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2" w:name="_Toc5936_WPSOffice_Level1"/>
      <w:r>
        <w:rPr>
          <w:rFonts w:hint="eastAsia"/>
          <w:b/>
          <w:bCs/>
          <w:color w:val="auto"/>
          <w:sz w:val="28"/>
          <w:szCs w:val="28"/>
          <w:highlight w:val="none"/>
          <w:lang w:eastAsia="zh-CN"/>
        </w:rPr>
        <w:t>（格式自拟）</w:t>
      </w:r>
      <w:bookmarkEnd w:id="52"/>
    </w:p>
    <w:p>
      <w:pPr>
        <w:pStyle w:val="10"/>
        <w:adjustRightInd w:val="0"/>
        <w:snapToGrid w:val="0"/>
        <w:spacing w:before="0" w:after="0" w:line="360" w:lineRule="exact"/>
        <w:rPr>
          <w:rFonts w:hint="eastAsia" w:ascii="宋体" w:hAnsi="宋体" w:eastAsia="宋体" w:cs="宋体"/>
          <w:color w:val="auto"/>
          <w:sz w:val="21"/>
          <w:szCs w:val="21"/>
          <w:highlight w:val="none"/>
          <w:lang w:eastAsia="zh-CN"/>
        </w:rPr>
      </w:pPr>
      <w:bookmarkStart w:id="53" w:name="_Toc471299104"/>
      <w:bookmarkStart w:id="54" w:name="_Toc31656"/>
      <w:r>
        <w:rPr>
          <w:rFonts w:hint="eastAsia" w:ascii="宋体" w:hAnsi="宋体" w:eastAsia="宋体" w:cs="宋体"/>
          <w:color w:val="auto"/>
          <w:sz w:val="21"/>
          <w:szCs w:val="21"/>
          <w:highlight w:val="none"/>
        </w:rPr>
        <w:t>附件</w:t>
      </w:r>
      <w:bookmarkEnd w:id="53"/>
      <w:bookmarkEnd w:id="54"/>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5" w:name="_Toc8862_WPSOffice_Level1"/>
      <w:bookmarkStart w:id="56"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5"/>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10"/>
        <w:adjustRightInd w:val="0"/>
        <w:snapToGrid w:val="0"/>
        <w:spacing w:before="0" w:after="0" w:line="360" w:lineRule="exact"/>
        <w:rPr>
          <w:rFonts w:hint="eastAsia" w:ascii="宋体" w:hAnsi="宋体" w:eastAsia="宋体" w:cs="宋体"/>
          <w:color w:val="auto"/>
          <w:sz w:val="21"/>
          <w:szCs w:val="21"/>
          <w:highlight w:val="none"/>
          <w:lang w:eastAsia="zh-CN"/>
        </w:rPr>
      </w:pPr>
      <w:bookmarkStart w:id="57" w:name="_Toc26907"/>
      <w:r>
        <w:rPr>
          <w:rFonts w:hint="eastAsia" w:ascii="宋体" w:hAnsi="宋体" w:eastAsia="宋体" w:cs="宋体"/>
          <w:color w:val="auto"/>
          <w:sz w:val="21"/>
          <w:szCs w:val="21"/>
          <w:highlight w:val="none"/>
        </w:rPr>
        <w:t>附件</w:t>
      </w:r>
      <w:bookmarkEnd w:id="56"/>
      <w:bookmarkEnd w:id="57"/>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8" w:name="_Toc148501698"/>
      <w:bookmarkStart w:id="59" w:name="_Toc3858_WPSOffice_Level1"/>
      <w:bookmarkStart w:id="60" w:name="_Toc516969098"/>
      <w:r>
        <w:rPr>
          <w:rFonts w:hint="eastAsia"/>
          <w:b/>
          <w:bCs/>
          <w:color w:val="auto"/>
          <w:sz w:val="28"/>
          <w:szCs w:val="28"/>
          <w:highlight w:val="none"/>
        </w:rPr>
        <w:t>响应函</w:t>
      </w:r>
      <w:bookmarkEnd w:id="58"/>
      <w:bookmarkEnd w:id="59"/>
      <w:bookmarkEnd w:id="60"/>
    </w:p>
    <w:p>
      <w:pPr>
        <w:pStyle w:val="15"/>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hint="eastAsia" w:ascii="宋体" w:hAnsi="宋体" w:eastAsia="宋体" w:cs="宋体"/>
          <w:b/>
          <w:bCs/>
          <w:color w:val="auto"/>
          <w:kern w:val="2"/>
          <w:sz w:val="21"/>
          <w:szCs w:val="21"/>
          <w:highlight w:val="none"/>
          <w:lang w:val="en-US" w:eastAsia="zh-CN" w:bidi="ar-SA"/>
        </w:rPr>
      </w:pPr>
    </w:p>
    <w:p>
      <w:pPr>
        <w:spacing w:line="360" w:lineRule="auto"/>
        <w:rPr>
          <w:rFonts w:hint="default" w:ascii="宋体" w:hAnsi="宋体" w:eastAsia="宋体"/>
          <w:color w:val="auto"/>
          <w:sz w:val="24"/>
          <w:highlight w:val="none"/>
          <w:u w:val="single"/>
          <w:lang w:val="en-US" w:eastAsia="zh-CN"/>
        </w:rPr>
      </w:pPr>
      <w:r>
        <w:rPr>
          <w:rFonts w:hint="eastAsia" w:ascii="宋体" w:hAnsi="宋体" w:eastAsia="宋体" w:cs="宋体"/>
          <w:b/>
          <w:bCs/>
          <w:color w:val="auto"/>
          <w:kern w:val="2"/>
          <w:sz w:val="21"/>
          <w:szCs w:val="21"/>
          <w:highlight w:val="none"/>
          <w:lang w:val="en-US" w:eastAsia="zh-CN" w:bidi="ar-SA"/>
        </w:rPr>
        <w:t>附件四</w:t>
      </w:r>
    </w:p>
    <w:p>
      <w:pPr>
        <w:pStyle w:val="55"/>
        <w:spacing w:before="312" w:beforeLines="100" w:after="312" w:afterLines="100" w:line="480" w:lineRule="exact"/>
        <w:rPr>
          <w:rFonts w:hint="eastAsia" w:ascii="宋体" w:hAnsi="宋体" w:eastAsia="宋体" w:cs="宋体"/>
          <w:b/>
          <w:color w:val="auto"/>
          <w:kern w:val="0"/>
          <w:sz w:val="24"/>
          <w:szCs w:val="24"/>
          <w:u w:val="none"/>
          <w:lang w:val="en-US" w:eastAsia="zh-CN" w:bidi="ar-SA"/>
        </w:rPr>
      </w:pPr>
      <w:bookmarkStart w:id="61" w:name="_Toc471299106"/>
      <w:bookmarkStart w:id="62" w:name="_Toc30711"/>
      <w:bookmarkStart w:id="63" w:name="_Toc417045478"/>
      <w:r>
        <w:rPr>
          <w:rFonts w:hint="eastAsia" w:ascii="宋体" w:hAnsi="宋体" w:eastAsia="宋体" w:cs="宋体"/>
          <w:b/>
          <w:color w:val="auto"/>
          <w:kern w:val="0"/>
          <w:sz w:val="24"/>
          <w:szCs w:val="24"/>
          <w:u w:val="none"/>
          <w:lang w:val="en-US" w:eastAsia="zh-CN" w:bidi="ar-SA"/>
        </w:rPr>
        <w:t>项目组成员一览表</w:t>
      </w:r>
    </w:p>
    <w:tbl>
      <w:tblPr>
        <w:tblStyle w:val="20"/>
        <w:tblW w:w="4455" w:type="pct"/>
        <w:tblInd w:w="528" w:type="dxa"/>
        <w:tblLayout w:type="autofit"/>
        <w:tblCellMar>
          <w:top w:w="0" w:type="dxa"/>
          <w:left w:w="0" w:type="dxa"/>
          <w:bottom w:w="0" w:type="dxa"/>
          <w:right w:w="0" w:type="dxa"/>
        </w:tblCellMar>
      </w:tblPr>
      <w:tblGrid>
        <w:gridCol w:w="689"/>
        <w:gridCol w:w="766"/>
        <w:gridCol w:w="764"/>
        <w:gridCol w:w="1148"/>
        <w:gridCol w:w="764"/>
        <w:gridCol w:w="766"/>
        <w:gridCol w:w="1776"/>
        <w:gridCol w:w="1391"/>
      </w:tblGrid>
      <w:tr>
        <w:tblPrEx>
          <w:tblCellMar>
            <w:top w:w="0" w:type="dxa"/>
            <w:left w:w="0" w:type="dxa"/>
            <w:bottom w:w="0" w:type="dxa"/>
            <w:right w:w="0" w:type="dxa"/>
          </w:tblCellMar>
        </w:tblPrEx>
        <w:trPr>
          <w:cantSplit/>
          <w:trHeight w:val="450" w:hRule="exact"/>
        </w:trPr>
        <w:tc>
          <w:tcPr>
            <w:tcW w:w="427"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岗位</w:t>
            </w:r>
          </w:p>
        </w:tc>
        <w:tc>
          <w:tcPr>
            <w:tcW w:w="475"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姓名</w:t>
            </w:r>
          </w:p>
        </w:tc>
        <w:tc>
          <w:tcPr>
            <w:tcW w:w="474"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职称</w:t>
            </w:r>
          </w:p>
        </w:tc>
        <w:tc>
          <w:tcPr>
            <w:tcW w:w="2762"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执业或职业资格证明</w:t>
            </w:r>
          </w:p>
        </w:tc>
        <w:tc>
          <w:tcPr>
            <w:tcW w:w="862"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备注</w:t>
            </w:r>
          </w:p>
        </w:tc>
      </w:tr>
      <w:tr>
        <w:tblPrEx>
          <w:tblCellMar>
            <w:top w:w="0" w:type="dxa"/>
            <w:left w:w="0" w:type="dxa"/>
            <w:bottom w:w="0" w:type="dxa"/>
            <w:right w:w="0" w:type="dxa"/>
          </w:tblCellMar>
        </w:tblPrEx>
        <w:trPr>
          <w:cantSplit/>
          <w:trHeight w:val="957" w:hRule="exact"/>
        </w:trPr>
        <w:tc>
          <w:tcPr>
            <w:tcW w:w="42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宋体" w:hAnsi="宋体" w:cs="宋体"/>
                <w:color w:val="000000"/>
                <w:kern w:val="0"/>
                <w:sz w:val="24"/>
              </w:rPr>
            </w:pPr>
          </w:p>
        </w:tc>
        <w:tc>
          <w:tcPr>
            <w:tcW w:w="47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宋体" w:hAnsi="宋体" w:cs="宋体"/>
                <w:color w:val="000000"/>
                <w:kern w:val="0"/>
                <w:sz w:val="24"/>
              </w:rPr>
            </w:pP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证书名称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级别</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证号</w:t>
            </w:r>
          </w:p>
        </w:tc>
        <w:tc>
          <w:tcPr>
            <w:tcW w:w="1101"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专业</w:t>
            </w: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bl>
    <w:p>
      <w:pPr>
        <w:pStyle w:val="10"/>
        <w:jc w:val="left"/>
        <w:rPr>
          <w:rFonts w:hint="eastAsia" w:ascii="宋体" w:hAnsi="宋体" w:cs="宋体"/>
          <w:color w:val="000000"/>
          <w:kern w:val="0"/>
          <w:sz w:val="24"/>
        </w:rPr>
      </w:pPr>
      <w:bookmarkStart w:id="64" w:name="_Toc23697058"/>
      <w:bookmarkStart w:id="65" w:name="_Toc23696938"/>
      <w:bookmarkStart w:id="66" w:name="_Toc10416"/>
      <w:r>
        <w:rPr>
          <w:rFonts w:ascii="宋体" w:hAnsi="宋体" w:cs="宋体"/>
          <w:color w:val="000000"/>
          <w:sz w:val="24"/>
          <w:szCs w:val="24"/>
        </w:rPr>
        <w:t>备注</w:t>
      </w:r>
      <w:r>
        <w:rPr>
          <w:rFonts w:hint="eastAsia" w:ascii="宋体" w:hAnsi="宋体" w:cs="宋体"/>
          <w:color w:val="000000"/>
          <w:sz w:val="24"/>
          <w:szCs w:val="24"/>
        </w:rPr>
        <w:t>：需提供相应的人员注册证书或资格证书、等满足招标文件要求的证明材料</w:t>
      </w:r>
      <w:bookmarkEnd w:id="64"/>
      <w:bookmarkEnd w:id="65"/>
      <w:r>
        <w:rPr>
          <w:rFonts w:hint="eastAsia" w:ascii="宋体" w:hAnsi="宋体" w:cs="宋体"/>
          <w:color w:val="000000"/>
          <w:sz w:val="24"/>
          <w:szCs w:val="24"/>
        </w:rPr>
        <w:t>。</w:t>
      </w:r>
      <w:bookmarkEnd w:id="66"/>
    </w:p>
    <w:p>
      <w:pPr>
        <w:spacing w:line="360" w:lineRule="auto"/>
        <w:rPr>
          <w:rFonts w:hint="eastAsia" w:ascii="宋体" w:hAnsi="宋体" w:cs="宋体"/>
          <w:color w:val="000000"/>
          <w:kern w:val="0"/>
          <w:sz w:val="24"/>
        </w:rPr>
      </w:pPr>
      <w:r>
        <w:rPr>
          <w:rFonts w:hint="eastAsia" w:ascii="宋体" w:hAnsi="宋体" w:cs="宋体"/>
          <w:color w:val="000000"/>
          <w:kern w:val="0"/>
          <w:sz w:val="24"/>
        </w:rPr>
        <w:t>投标单位：（盖章）                           法定代表人；（签字或盖章）</w:t>
      </w:r>
    </w:p>
    <w:p>
      <w:pPr>
        <w:widowControl/>
        <w:wordWrap w:val="0"/>
        <w:spacing w:before="100" w:beforeAutospacing="1" w:after="100" w:afterAutospacing="1"/>
        <w:ind w:firstLine="5853" w:firstLineChars="2439"/>
        <w:jc w:val="left"/>
        <w:rPr>
          <w:rFonts w:hint="eastAsia"/>
        </w:rPr>
      </w:pPr>
      <w:r>
        <w:rPr>
          <w:rFonts w:hint="eastAsia" w:ascii="宋体" w:hAnsi="宋体" w:cs="宋体"/>
          <w:color w:val="000000"/>
          <w:kern w:val="0"/>
          <w:sz w:val="24"/>
        </w:rPr>
        <w:t>年  月   日</w:t>
      </w:r>
    </w:p>
    <w:p>
      <w:pPr>
        <w:pStyle w:val="10"/>
        <w:adjustRightInd w:val="0"/>
        <w:snapToGrid w:val="0"/>
        <w:spacing w:before="0" w:after="0" w:line="360" w:lineRule="exact"/>
        <w:rPr>
          <w:rFonts w:hint="eastAsia" w:ascii="宋体" w:hAnsi="宋体" w:eastAsia="宋体" w:cs="宋体"/>
          <w:color w:val="auto"/>
          <w:sz w:val="21"/>
          <w:szCs w:val="21"/>
          <w:highlight w:val="none"/>
        </w:rPr>
      </w:pPr>
    </w:p>
    <w:p>
      <w:pPr>
        <w:pStyle w:val="10"/>
        <w:adjustRightInd w:val="0"/>
        <w:snapToGrid w:val="0"/>
        <w:spacing w:before="0" w:after="0"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附件</w:t>
      </w:r>
      <w:bookmarkEnd w:id="61"/>
      <w:bookmarkEnd w:id="62"/>
      <w:bookmarkEnd w:id="63"/>
      <w:r>
        <w:rPr>
          <w:rFonts w:hint="eastAsia" w:ascii="宋体" w:hAnsi="宋体" w:cs="宋体"/>
          <w:color w:val="auto"/>
          <w:sz w:val="21"/>
          <w:szCs w:val="21"/>
          <w:highlight w:val="none"/>
          <w:lang w:val="en-US" w:eastAsia="zh-CN"/>
        </w:rPr>
        <w:t>五</w:t>
      </w:r>
    </w:p>
    <w:p>
      <w:pPr>
        <w:jc w:val="center"/>
        <w:rPr>
          <w:rFonts w:hint="eastAsia"/>
          <w:b/>
          <w:bCs/>
          <w:color w:val="auto"/>
          <w:sz w:val="28"/>
          <w:szCs w:val="28"/>
          <w:highlight w:val="none"/>
          <w:lang w:val="zh-CN"/>
        </w:rPr>
      </w:pPr>
      <w:bookmarkStart w:id="67" w:name="_Toc1513_WPSOffice_Level1"/>
      <w:r>
        <w:rPr>
          <w:rFonts w:hint="eastAsia"/>
          <w:b/>
          <w:bCs/>
          <w:color w:val="auto"/>
          <w:sz w:val="28"/>
          <w:szCs w:val="28"/>
          <w:highlight w:val="none"/>
          <w:lang w:val="zh-CN"/>
        </w:rPr>
        <w:t>无重大违法记录声明函</w:t>
      </w:r>
      <w:bookmarkEnd w:id="6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8" w:name="_Toc29566_WPSOffice_Level1"/>
      <w:r>
        <w:rPr>
          <w:rFonts w:hint="eastAsia"/>
          <w:b/>
          <w:bCs/>
          <w:color w:val="auto"/>
          <w:sz w:val="28"/>
          <w:szCs w:val="28"/>
          <w:highlight w:val="none"/>
          <w:lang w:val="zh-CN"/>
        </w:rPr>
        <w:t>无不良信用记录承诺函</w:t>
      </w:r>
      <w:bookmarkEnd w:id="6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9" w:name="_Toc363199274"/>
    </w:p>
    <w:p>
      <w:pPr>
        <w:pStyle w:val="10"/>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70" w:name="_Toc471299107"/>
      <w:r>
        <w:rPr>
          <w:rFonts w:hint="eastAsia"/>
          <w:color w:val="auto"/>
          <w:sz w:val="24"/>
          <w:szCs w:val="24"/>
          <w:highlight w:val="none"/>
        </w:rPr>
        <w:br w:type="page"/>
      </w:r>
      <w:bookmarkStart w:id="71" w:name="_Toc3574"/>
      <w:r>
        <w:rPr>
          <w:rFonts w:hint="eastAsia" w:ascii="宋体" w:hAnsi="宋体" w:eastAsia="宋体" w:cs="宋体"/>
          <w:color w:val="auto"/>
          <w:sz w:val="21"/>
          <w:szCs w:val="21"/>
          <w:highlight w:val="none"/>
        </w:rPr>
        <w:t>附件</w:t>
      </w:r>
      <w:bookmarkEnd w:id="69"/>
      <w:bookmarkEnd w:id="70"/>
      <w:bookmarkEnd w:id="71"/>
      <w:r>
        <w:rPr>
          <w:rFonts w:hint="eastAsia" w:ascii="宋体" w:hAnsi="宋体" w:cs="宋体"/>
          <w:color w:val="auto"/>
          <w:sz w:val="21"/>
          <w:szCs w:val="21"/>
          <w:highlight w:val="none"/>
          <w:lang w:val="en-US" w:eastAsia="zh-CN"/>
        </w:rPr>
        <w:t>六</w:t>
      </w:r>
    </w:p>
    <w:p>
      <w:pPr>
        <w:jc w:val="center"/>
        <w:rPr>
          <w:rFonts w:hint="eastAsia"/>
          <w:b/>
          <w:bCs/>
          <w:color w:val="auto"/>
          <w:sz w:val="28"/>
          <w:szCs w:val="28"/>
          <w:highlight w:val="none"/>
          <w:lang w:val="zh-CN"/>
        </w:rPr>
      </w:pPr>
      <w:bookmarkStart w:id="72" w:name="_Toc24671_WPSOffice_Level1"/>
      <w:r>
        <w:rPr>
          <w:rFonts w:hint="eastAsia"/>
          <w:b/>
          <w:bCs/>
          <w:color w:val="auto"/>
          <w:sz w:val="28"/>
          <w:szCs w:val="28"/>
          <w:highlight w:val="none"/>
          <w:lang w:val="zh-CN"/>
        </w:rPr>
        <w:t>询价响应表</w:t>
      </w:r>
      <w:bookmarkEnd w:id="72"/>
    </w:p>
    <w:tbl>
      <w:tblPr>
        <w:tblStyle w:val="20"/>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货物</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19"/>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73" w:name="_Toc471299110"/>
      <w:bookmarkStart w:id="74" w:name="_Toc27567"/>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73"/>
      <w:bookmarkEnd w:id="74"/>
      <w:bookmarkStart w:id="75" w:name="_Toc32017"/>
      <w:r>
        <w:rPr>
          <w:rFonts w:hint="eastAsia" w:ascii="宋体" w:hAnsi="宋体" w:cs="宋体"/>
          <w:b/>
          <w:bCs/>
          <w:color w:val="auto"/>
          <w:kern w:val="2"/>
          <w:sz w:val="21"/>
          <w:szCs w:val="21"/>
          <w:highlight w:val="none"/>
          <w:lang w:val="en-US" w:eastAsia="zh-CN" w:bidi="ar-SA"/>
        </w:rPr>
        <w:t xml:space="preserve">七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2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小写：                          元</w:t>
            </w:r>
            <w:r>
              <w:rPr>
                <w:rFonts w:hint="eastAsia"/>
                <w:highlight w:val="none"/>
                <w:lang w:val="en-US" w:eastAsia="zh-CN"/>
              </w:rPr>
              <w:t>/年</w:t>
            </w:r>
            <w:r>
              <w:rPr>
                <w:rFonts w:hint="eastAsia"/>
                <w:highlight w:val="none"/>
              </w:rPr>
              <w:t xml:space="preserve"> </w:t>
            </w:r>
          </w:p>
          <w:p>
            <w:pPr>
              <w:spacing w:line="440" w:lineRule="exact"/>
              <w:ind w:right="-670"/>
              <w:rPr>
                <w:rFonts w:hint="default" w:eastAsia="宋体"/>
                <w:highlight w:val="none"/>
                <w:lang w:val="en-US" w:eastAsia="zh-CN"/>
              </w:rPr>
            </w:pPr>
            <w:r>
              <w:rPr>
                <w:rFonts w:hint="eastAsia"/>
                <w:highlight w:val="none"/>
              </w:rPr>
              <w:t>大写：                          元</w:t>
            </w:r>
            <w:r>
              <w:rPr>
                <w:rFonts w:hint="eastAsia"/>
                <w:highlight w:val="none"/>
                <w:lang w:val="en-US" w:eastAsia="zh-CN"/>
              </w:rPr>
              <w:t>/年</w:t>
            </w:r>
          </w:p>
          <w:p>
            <w:pPr>
              <w:pStyle w:val="2"/>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2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r>
              <w:rPr>
                <w:rFonts w:hint="eastAsia" w:ascii="宋体" w:hAnsi="宋体" w:cs="宋体"/>
                <w:color w:val="000000" w:themeColor="text1"/>
                <w:sz w:val="21"/>
                <w:szCs w:val="21"/>
                <w:highlight w:val="none"/>
                <w:lang w:val="en-US" w:eastAsia="zh-CN"/>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2"/>
        <w:rPr>
          <w:rFonts w:hint="eastAsia"/>
          <w:highlight w:val="none"/>
          <w:lang w:eastAsia="zh-CN"/>
        </w:rPr>
      </w:pPr>
    </w:p>
    <w:p>
      <w:pPr>
        <w:pStyle w:val="10"/>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5"/>
      <w:r>
        <w:rPr>
          <w:rFonts w:hint="eastAsia" w:ascii="宋体" w:hAnsi="宋体" w:cs="宋体"/>
          <w:color w:val="auto"/>
          <w:sz w:val="21"/>
          <w:szCs w:val="21"/>
          <w:highlight w:val="none"/>
          <w:lang w:val="en-US" w:eastAsia="zh-CN"/>
        </w:rPr>
        <w:t>八</w:t>
      </w:r>
    </w:p>
    <w:p>
      <w:pPr>
        <w:jc w:val="center"/>
        <w:rPr>
          <w:rFonts w:hint="eastAsia"/>
          <w:b/>
          <w:bCs/>
          <w:color w:val="auto"/>
          <w:sz w:val="28"/>
          <w:szCs w:val="28"/>
          <w:highlight w:val="none"/>
          <w:lang w:val="zh-CN"/>
        </w:rPr>
      </w:pPr>
      <w:bookmarkStart w:id="76" w:name="_Toc12025_WPSOffice_Level1"/>
      <w:r>
        <w:rPr>
          <w:rFonts w:hint="eastAsia"/>
          <w:b/>
          <w:bCs/>
          <w:color w:val="auto"/>
          <w:sz w:val="28"/>
          <w:szCs w:val="28"/>
          <w:highlight w:val="none"/>
          <w:lang w:val="zh-CN"/>
        </w:rPr>
        <w:t>服务承诺</w:t>
      </w:r>
      <w:bookmarkEnd w:id="7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10"/>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7" w:name="_Toc27705"/>
      <w:r>
        <w:rPr>
          <w:rFonts w:hint="eastAsia" w:ascii="宋体" w:hAnsi="宋体" w:eastAsia="宋体" w:cs="宋体"/>
          <w:color w:val="auto"/>
          <w:sz w:val="21"/>
          <w:szCs w:val="21"/>
          <w:highlight w:val="none"/>
        </w:rPr>
        <w:t>附件</w:t>
      </w:r>
      <w:bookmarkEnd w:id="77"/>
      <w:r>
        <w:rPr>
          <w:rFonts w:hint="eastAsia" w:ascii="宋体" w:hAnsi="宋体" w:cs="宋体"/>
          <w:color w:val="auto"/>
          <w:sz w:val="21"/>
          <w:szCs w:val="21"/>
          <w:highlight w:val="none"/>
          <w:lang w:val="en-US" w:eastAsia="zh-CN"/>
        </w:rPr>
        <w:t>九</w:t>
      </w:r>
    </w:p>
    <w:p>
      <w:pPr>
        <w:jc w:val="center"/>
        <w:rPr>
          <w:rFonts w:hint="eastAsia"/>
          <w:b/>
          <w:bCs/>
          <w:color w:val="auto"/>
          <w:sz w:val="28"/>
          <w:szCs w:val="28"/>
          <w:highlight w:val="none"/>
          <w:lang w:val="zh-CN"/>
        </w:rPr>
      </w:pPr>
      <w:bookmarkStart w:id="78" w:name="_Toc1950_WPSOffice_Level1"/>
      <w:r>
        <w:rPr>
          <w:rFonts w:hint="eastAsia"/>
          <w:b/>
          <w:bCs/>
          <w:color w:val="auto"/>
          <w:sz w:val="28"/>
          <w:szCs w:val="28"/>
          <w:highlight w:val="none"/>
          <w:lang w:val="zh-CN"/>
        </w:rPr>
        <w:t>询价文件要求和供应商认为需要提供的其它说明和资料</w:t>
      </w:r>
      <w:bookmarkEnd w:id="78"/>
    </w:p>
    <w:p>
      <w:pPr>
        <w:tabs>
          <w:tab w:val="left" w:pos="4620"/>
        </w:tabs>
        <w:spacing w:line="560" w:lineRule="exact"/>
        <w:jc w:val="left"/>
        <w:rPr>
          <w:rStyle w:val="43"/>
          <w:rFonts w:hint="eastAsia"/>
          <w:color w:val="auto"/>
          <w:sz w:val="21"/>
          <w:szCs w:val="21"/>
          <w:highlight w:val="none"/>
          <w:lang w:val="en-US" w:eastAsia="zh-CN"/>
        </w:rPr>
      </w:pPr>
      <w:bookmarkStart w:id="79" w:name="_Toc3085"/>
      <w:bookmarkStart w:id="80" w:name="_Toc19844_WPSOffice_Level1"/>
    </w:p>
    <w:p>
      <w:pPr>
        <w:tabs>
          <w:tab w:val="left" w:pos="4620"/>
        </w:tabs>
        <w:spacing w:line="560" w:lineRule="exact"/>
        <w:jc w:val="left"/>
        <w:rPr>
          <w:rStyle w:val="43"/>
          <w:rFonts w:hint="eastAsia"/>
          <w:color w:val="auto"/>
          <w:sz w:val="21"/>
          <w:szCs w:val="21"/>
          <w:highlight w:val="none"/>
          <w:lang w:val="en-US" w:eastAsia="zh-CN"/>
        </w:rPr>
      </w:pPr>
    </w:p>
    <w:bookmarkEnd w:id="79"/>
    <w:bookmarkEnd w:id="80"/>
    <w:p>
      <w:pPr>
        <w:pStyle w:val="2"/>
        <w:rPr>
          <w:rFonts w:hint="eastAsia" w:ascii="宋体" w:hAnsi="宋体" w:cs="宋体"/>
          <w:b/>
          <w:bCs/>
          <w:color w:val="auto"/>
          <w:sz w:val="24"/>
          <w:szCs w:val="24"/>
          <w:highlight w:val="none"/>
        </w:rPr>
      </w:pPr>
      <w:bookmarkStart w:id="81" w:name="_Toc16902_WPSOffice_Level1"/>
    </w:p>
    <w:p>
      <w:pPr>
        <w:pStyle w:val="2"/>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81"/>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82" w:name="_Toc11536"/>
      <w:r>
        <w:rPr>
          <w:rFonts w:hint="eastAsia" w:ascii="宋体" w:hAnsi="宋体"/>
          <w:b/>
          <w:color w:val="auto"/>
          <w:sz w:val="24"/>
          <w:szCs w:val="28"/>
          <w:highlight w:val="none"/>
          <w:lang w:val="en-US" w:eastAsia="zh-CN"/>
        </w:rPr>
        <w:t>附件</w:t>
      </w:r>
      <w:bookmarkEnd w:id="82"/>
      <w:r>
        <w:rPr>
          <w:rFonts w:hint="eastAsia" w:ascii="宋体" w:hAnsi="宋体"/>
          <w:b/>
          <w:color w:val="auto"/>
          <w:sz w:val="24"/>
          <w:szCs w:val="28"/>
          <w:highlight w:val="none"/>
          <w:lang w:val="en-US" w:eastAsia="zh-CN"/>
        </w:rPr>
        <w:t>十</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4"/>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AE9B9"/>
    <w:multiLevelType w:val="singleLevel"/>
    <w:tmpl w:val="82AAE9B9"/>
    <w:lvl w:ilvl="0" w:tentative="0">
      <w:start w:val="3"/>
      <w:numFmt w:val="chineseCounting"/>
      <w:suff w:val="nothing"/>
      <w:lvlText w:val="%1、"/>
      <w:lvlJc w:val="left"/>
      <w:rPr>
        <w:rFonts w:hint="eastAsia"/>
      </w:rPr>
    </w:lvl>
  </w:abstractNum>
  <w:abstractNum w:abstractNumId="1">
    <w:nsid w:val="09A05D87"/>
    <w:multiLevelType w:val="singleLevel"/>
    <w:tmpl w:val="09A05D87"/>
    <w:lvl w:ilvl="0" w:tentative="0">
      <w:start w:val="3"/>
      <w:numFmt w:val="chineseCounting"/>
      <w:suff w:val="nothing"/>
      <w:lvlText w:val="%1、"/>
      <w:lvlJc w:val="left"/>
      <w:rPr>
        <w:rFonts w:hint="eastAsia"/>
      </w:rPr>
    </w:lvl>
  </w:abstractNum>
  <w:abstractNum w:abstractNumId="2">
    <w:nsid w:val="6694F294"/>
    <w:multiLevelType w:val="singleLevel"/>
    <w:tmpl w:val="6694F294"/>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57A5"/>
    <w:rsid w:val="0003708B"/>
    <w:rsid w:val="00292389"/>
    <w:rsid w:val="00847D88"/>
    <w:rsid w:val="00B03C56"/>
    <w:rsid w:val="00B17BC8"/>
    <w:rsid w:val="00EB626F"/>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B502D2"/>
    <w:rsid w:val="05DA6AE0"/>
    <w:rsid w:val="0644344B"/>
    <w:rsid w:val="065734CB"/>
    <w:rsid w:val="066160FD"/>
    <w:rsid w:val="06BE48F4"/>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2146A4"/>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1013491"/>
    <w:rsid w:val="11470880"/>
    <w:rsid w:val="11AB1248"/>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1663E2"/>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B75625"/>
    <w:rsid w:val="26E26F1B"/>
    <w:rsid w:val="26FF3DC4"/>
    <w:rsid w:val="2756117E"/>
    <w:rsid w:val="27CF2BFB"/>
    <w:rsid w:val="282C5FBE"/>
    <w:rsid w:val="283956A8"/>
    <w:rsid w:val="28552F45"/>
    <w:rsid w:val="28721659"/>
    <w:rsid w:val="28B95567"/>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CBD0DF2"/>
    <w:rsid w:val="2D254D25"/>
    <w:rsid w:val="2D3F2246"/>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554E2E"/>
    <w:rsid w:val="3262580A"/>
    <w:rsid w:val="32661595"/>
    <w:rsid w:val="327F2242"/>
    <w:rsid w:val="3305611D"/>
    <w:rsid w:val="33882EA3"/>
    <w:rsid w:val="33B14FB2"/>
    <w:rsid w:val="340E6C58"/>
    <w:rsid w:val="341C2F63"/>
    <w:rsid w:val="34545DD8"/>
    <w:rsid w:val="349B21BE"/>
    <w:rsid w:val="34D536C4"/>
    <w:rsid w:val="34DC531C"/>
    <w:rsid w:val="35680E1A"/>
    <w:rsid w:val="35854C2E"/>
    <w:rsid w:val="35984BA7"/>
    <w:rsid w:val="35EE6CA1"/>
    <w:rsid w:val="36355848"/>
    <w:rsid w:val="363F4FAA"/>
    <w:rsid w:val="36955D99"/>
    <w:rsid w:val="36CE5C1C"/>
    <w:rsid w:val="37500C05"/>
    <w:rsid w:val="376406C6"/>
    <w:rsid w:val="38312E6C"/>
    <w:rsid w:val="38B45EFC"/>
    <w:rsid w:val="38D036A4"/>
    <w:rsid w:val="38FC1F15"/>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B47BB4"/>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E168F0"/>
    <w:rsid w:val="40FE59B1"/>
    <w:rsid w:val="415B5DA1"/>
    <w:rsid w:val="41666DD5"/>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C1F89"/>
    <w:rsid w:val="46447AD0"/>
    <w:rsid w:val="4667667C"/>
    <w:rsid w:val="46AA52FF"/>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E4F51DF"/>
    <w:rsid w:val="4F1C43FC"/>
    <w:rsid w:val="4F490783"/>
    <w:rsid w:val="4F6D0B44"/>
    <w:rsid w:val="4F833E54"/>
    <w:rsid w:val="4F9010E9"/>
    <w:rsid w:val="50345C2D"/>
    <w:rsid w:val="50780873"/>
    <w:rsid w:val="50994DD9"/>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7"/>
    <w:next w:val="8"/>
    <w:qFormat/>
    <w:uiPriority w:val="99"/>
    <w:pPr>
      <w:autoSpaceDE w:val="0"/>
      <w:autoSpaceDN w:val="0"/>
      <w:ind w:left="838"/>
      <w:jc w:val="center"/>
      <w:outlineLvl w:val="0"/>
    </w:pPr>
    <w:rPr>
      <w:rFonts w:ascii="宋体" w:hAnsi="宋体"/>
      <w:b/>
      <w:bCs/>
      <w:kern w:val="0"/>
      <w:sz w:val="32"/>
      <w:szCs w:val="32"/>
    </w:rPr>
  </w:style>
  <w:style w:type="paragraph" w:styleId="9">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10">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22">
    <w:name w:val="Default Paragraph Font"/>
    <w:link w:val="23"/>
    <w:semiHidden/>
    <w:qFormat/>
    <w:uiPriority w:val="0"/>
    <w:rPr>
      <w:rFonts w:ascii="Tahoma" w:hAnsi="Tahoma" w:eastAsia="宋体" w:cs="Times New Roman"/>
      <w:sz w:val="24"/>
    </w:rPr>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400" w:lineRule="atLeast"/>
      <w:ind w:firstLine="426"/>
    </w:pPr>
    <w:rPr>
      <w:rFonts w:ascii="Times New Roman" w:hAnsi="Times New Roman"/>
      <w:sz w:val="24"/>
      <w:szCs w:val="20"/>
    </w:rPr>
  </w:style>
  <w:style w:type="paragraph" w:styleId="3">
    <w:name w:val="Body Text"/>
    <w:basedOn w:val="1"/>
    <w:next w:val="4"/>
    <w:qFormat/>
    <w:uiPriority w:val="99"/>
    <w:pPr>
      <w:spacing w:after="120"/>
    </w:pPr>
    <w:rPr>
      <w:szCs w:val="24"/>
    </w:rPr>
  </w:style>
  <w:style w:type="paragraph" w:customStyle="1" w:styleId="4">
    <w:name w:val="Default"/>
    <w:next w:val="5"/>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
    <w:name w:val="表格文字"/>
    <w:basedOn w:val="1"/>
    <w:qFormat/>
    <w:uiPriority w:val="0"/>
    <w:pPr>
      <w:spacing w:line="360" w:lineRule="exact"/>
      <w:jc w:val="center"/>
    </w:pPr>
    <w:rPr>
      <w:szCs w:val="20"/>
    </w:rPr>
  </w:style>
  <w:style w:type="paragraph" w:styleId="7">
    <w:name w:val="Body Text 2"/>
    <w:basedOn w:val="1"/>
    <w:qFormat/>
    <w:uiPriority w:val="0"/>
    <w:pPr>
      <w:spacing w:after="120" w:line="480" w:lineRule="auto"/>
    </w:pPr>
  </w:style>
  <w:style w:type="paragraph" w:styleId="8">
    <w:name w:val="Normal Indent"/>
    <w:basedOn w:val="1"/>
    <w:qFormat/>
    <w:uiPriority w:val="0"/>
    <w:pPr>
      <w:autoSpaceDE/>
      <w:autoSpaceDN/>
      <w:adjustRightInd/>
      <w:ind w:firstLine="420"/>
    </w:pPr>
    <w:rPr>
      <w:color w:val="auto"/>
      <w:kern w:val="2"/>
      <w:szCs w:val="20"/>
    </w:rPr>
  </w:style>
  <w:style w:type="paragraph" w:styleId="11">
    <w:name w:val="Body Text Indent"/>
    <w:basedOn w:val="1"/>
    <w:next w:val="12"/>
    <w:unhideWhenUsed/>
    <w:qFormat/>
    <w:uiPriority w:val="0"/>
    <w:pPr>
      <w:ind w:left="420" w:leftChars="200"/>
    </w:pPr>
  </w:style>
  <w:style w:type="paragraph" w:styleId="12">
    <w:name w:val="envelope return"/>
    <w:basedOn w:val="1"/>
    <w:unhideWhenUsed/>
    <w:qFormat/>
    <w:uiPriority w:val="99"/>
    <w:pPr>
      <w:snapToGrid w:val="0"/>
      <w:spacing w:line="360" w:lineRule="auto"/>
    </w:pPr>
    <w:rPr>
      <w:rFonts w:ascii="Arial" w:hAnsi="Arial" w:cs="Arial"/>
    </w:rPr>
  </w:style>
  <w:style w:type="paragraph" w:styleId="13">
    <w:name w:val="Block Text"/>
    <w:basedOn w:val="1"/>
    <w:qFormat/>
    <w:uiPriority w:val="0"/>
    <w:pPr>
      <w:spacing w:line="300" w:lineRule="auto"/>
      <w:ind w:left="29" w:leftChars="12" w:right="6" w:firstLine="560" w:firstLineChars="200"/>
      <w:jc w:val="both"/>
    </w:pPr>
    <w:rPr>
      <w:rFonts w:ascii="Times New Roman"/>
      <w:sz w:val="28"/>
    </w:rPr>
  </w:style>
  <w:style w:type="paragraph" w:styleId="14">
    <w:name w:val="Plain Text"/>
    <w:basedOn w:val="1"/>
    <w:qFormat/>
    <w:uiPriority w:val="99"/>
    <w:rPr>
      <w:rFonts w:ascii="宋体" w:hAnsi="Courier New"/>
      <w:szCs w:val="22"/>
    </w:rPr>
  </w:style>
  <w:style w:type="paragraph" w:styleId="15">
    <w:name w:val="Date"/>
    <w:basedOn w:val="1"/>
    <w:next w:val="1"/>
    <w:qFormat/>
    <w:uiPriority w:val="99"/>
    <w:rPr>
      <w:rFonts w:ascii="Arial" w:hAnsi="Arial" w:eastAsia="楷体_GB2312"/>
      <w:sz w:val="2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Body Text First Indent 2"/>
    <w:basedOn w:val="11"/>
    <w:next w:val="1"/>
    <w:qFormat/>
    <w:uiPriority w:val="0"/>
    <w:pPr>
      <w:spacing w:line="360" w:lineRule="auto"/>
      <w:jc w:val="left"/>
    </w:pPr>
    <w:rPr>
      <w:rFonts w:cs="宋体"/>
      <w:sz w:val="28"/>
      <w:szCs w:val="2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Char Char Char Char"/>
    <w:basedOn w:val="1"/>
    <w:next w:val="1"/>
    <w:link w:val="22"/>
    <w:qFormat/>
    <w:uiPriority w:val="0"/>
    <w:rPr>
      <w:rFonts w:ascii="Tahoma" w:hAnsi="Tahoma" w:eastAsia="宋体" w:cs="Times New Roman"/>
      <w:sz w:val="24"/>
    </w:rPr>
  </w:style>
  <w:style w:type="character" w:styleId="24">
    <w:name w:val="Strong"/>
    <w:basedOn w:val="22"/>
    <w:qFormat/>
    <w:uiPriority w:val="0"/>
  </w:style>
  <w:style w:type="character" w:styleId="25">
    <w:name w:val="page number"/>
    <w:basedOn w:val="22"/>
    <w:qFormat/>
    <w:uiPriority w:val="0"/>
  </w:style>
  <w:style w:type="character" w:styleId="26">
    <w:name w:val="FollowedHyperlink"/>
    <w:basedOn w:val="22"/>
    <w:qFormat/>
    <w:uiPriority w:val="0"/>
    <w:rPr>
      <w:color w:val="800080"/>
      <w:u w:val="none"/>
    </w:rPr>
  </w:style>
  <w:style w:type="character" w:styleId="27">
    <w:name w:val="Emphasis"/>
    <w:basedOn w:val="22"/>
    <w:qFormat/>
    <w:uiPriority w:val="0"/>
  </w:style>
  <w:style w:type="character" w:styleId="28">
    <w:name w:val="HTML Definition"/>
    <w:basedOn w:val="22"/>
    <w:qFormat/>
    <w:uiPriority w:val="0"/>
  </w:style>
  <w:style w:type="character" w:styleId="29">
    <w:name w:val="HTML Typewriter"/>
    <w:basedOn w:val="22"/>
    <w:qFormat/>
    <w:uiPriority w:val="0"/>
    <w:rPr>
      <w:rFonts w:ascii="monospace" w:hAnsi="monospace" w:eastAsia="monospace" w:cs="monospace"/>
      <w:sz w:val="20"/>
    </w:rPr>
  </w:style>
  <w:style w:type="character" w:styleId="30">
    <w:name w:val="HTML Acronym"/>
    <w:basedOn w:val="22"/>
    <w:qFormat/>
    <w:uiPriority w:val="0"/>
  </w:style>
  <w:style w:type="character" w:styleId="31">
    <w:name w:val="HTML Variable"/>
    <w:basedOn w:val="22"/>
    <w:qFormat/>
    <w:uiPriority w:val="0"/>
  </w:style>
  <w:style w:type="character" w:styleId="32">
    <w:name w:val="Hyperlink"/>
    <w:qFormat/>
    <w:uiPriority w:val="0"/>
    <w:rPr>
      <w:color w:val="0000FF"/>
      <w:u w:val="single"/>
    </w:rPr>
  </w:style>
  <w:style w:type="character" w:styleId="33">
    <w:name w:val="HTML Code"/>
    <w:basedOn w:val="22"/>
    <w:qFormat/>
    <w:uiPriority w:val="0"/>
    <w:rPr>
      <w:rFonts w:hint="default" w:ascii="monospace" w:hAnsi="monospace" w:eastAsia="monospace" w:cs="monospace"/>
      <w:sz w:val="20"/>
    </w:rPr>
  </w:style>
  <w:style w:type="character" w:styleId="34">
    <w:name w:val="HTML Cite"/>
    <w:basedOn w:val="22"/>
    <w:qFormat/>
    <w:uiPriority w:val="0"/>
  </w:style>
  <w:style w:type="character" w:styleId="35">
    <w:name w:val="HTML Keyboard"/>
    <w:basedOn w:val="22"/>
    <w:qFormat/>
    <w:uiPriority w:val="0"/>
    <w:rPr>
      <w:rFonts w:hint="default" w:ascii="monospace" w:hAnsi="monospace" w:eastAsia="monospace" w:cs="monospace"/>
      <w:sz w:val="20"/>
    </w:rPr>
  </w:style>
  <w:style w:type="character" w:styleId="36">
    <w:name w:val="HTML Sample"/>
    <w:basedOn w:val="22"/>
    <w:qFormat/>
    <w:uiPriority w:val="0"/>
    <w:rPr>
      <w:rFonts w:hint="default" w:ascii="monospace" w:hAnsi="monospace" w:eastAsia="monospace" w:cs="monospace"/>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D&amp;L"/>
    <w:basedOn w:val="17"/>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qFormat/>
    <w:uiPriority w:val="99"/>
    <w:rPr>
      <w:rFonts w:ascii="Tahoma" w:hAnsi="Tahoma"/>
      <w:sz w:val="24"/>
    </w:rPr>
  </w:style>
  <w:style w:type="paragraph" w:customStyle="1" w:styleId="41">
    <w:name w:val="样式 标题 2 + 宋体 五号 行距: 单倍行距"/>
    <w:basedOn w:val="9"/>
    <w:qFormat/>
    <w:uiPriority w:val="99"/>
    <w:pPr>
      <w:spacing w:line="240" w:lineRule="auto"/>
    </w:pPr>
    <w:rPr>
      <w:rFonts w:ascii="宋体" w:hAnsi="宋体" w:eastAsia="宋体"/>
      <w:sz w:val="21"/>
    </w:rPr>
  </w:style>
  <w:style w:type="paragraph" w:customStyle="1" w:styleId="42">
    <w:name w:val="Char Char Char Char Char Char Char1 Char"/>
    <w:basedOn w:val="1"/>
    <w:qFormat/>
    <w:uiPriority w:val="99"/>
    <w:rPr>
      <w:rFonts w:ascii="Tahoma" w:hAnsi="Tahoma"/>
      <w:sz w:val="24"/>
    </w:rPr>
  </w:style>
  <w:style w:type="character" w:customStyle="1" w:styleId="43">
    <w:name w:val="标题 3 Char"/>
    <w:basedOn w:val="22"/>
    <w:link w:val="10"/>
    <w:qFormat/>
    <w:locked/>
    <w:uiPriority w:val="99"/>
    <w:rPr>
      <w:b/>
      <w:bCs/>
      <w:sz w:val="32"/>
      <w:szCs w:val="32"/>
    </w:rPr>
  </w:style>
  <w:style w:type="paragraph" w:customStyle="1"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unhideWhenUsed/>
    <w:qFormat/>
    <w:uiPriority w:val="99"/>
    <w:pPr>
      <w:ind w:firstLine="420" w:firstLineChars="200"/>
    </w:pPr>
    <w:rPr>
      <w:rFonts w:ascii="Calibri" w:hAnsi="Calibri"/>
      <w:szCs w:val="22"/>
    </w:rPr>
  </w:style>
  <w:style w:type="paragraph" w:customStyle="1" w:styleId="46">
    <w:name w:val="Table Paragraph"/>
    <w:basedOn w:val="1"/>
    <w:qFormat/>
    <w:uiPriority w:val="1"/>
  </w:style>
  <w:style w:type="paragraph" w:customStyle="1" w:styleId="47">
    <w:name w:val="_Style 1"/>
    <w:basedOn w:val="1"/>
    <w:qFormat/>
    <w:uiPriority w:val="0"/>
    <w:pPr>
      <w:ind w:firstLine="420" w:firstLineChars="200"/>
    </w:pPr>
    <w:rPr>
      <w:rFonts w:ascii="Calibri" w:hAnsi="Calibri"/>
      <w:szCs w:val="22"/>
    </w:rPr>
  </w:style>
  <w:style w:type="paragraph" w:customStyle="1" w:styleId="48">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1">
    <w:name w:val="font11"/>
    <w:basedOn w:val="22"/>
    <w:qFormat/>
    <w:uiPriority w:val="0"/>
    <w:rPr>
      <w:rFonts w:hint="eastAsia" w:ascii="宋体" w:hAnsi="宋体" w:eastAsia="宋体" w:cs="宋体"/>
      <w:color w:val="000000"/>
      <w:sz w:val="22"/>
      <w:szCs w:val="22"/>
      <w:u w:val="none"/>
    </w:rPr>
  </w:style>
  <w:style w:type="character" w:customStyle="1" w:styleId="52">
    <w:name w:val="font01"/>
    <w:basedOn w:val="22"/>
    <w:qFormat/>
    <w:uiPriority w:val="0"/>
    <w:rPr>
      <w:rFonts w:hint="eastAsia" w:ascii="宋体" w:hAnsi="宋体" w:eastAsia="宋体" w:cs="宋体"/>
      <w:color w:val="000000"/>
      <w:sz w:val="22"/>
      <w:szCs w:val="22"/>
      <w:u w:val="none"/>
    </w:rPr>
  </w:style>
  <w:style w:type="character" w:customStyle="1" w:styleId="53">
    <w:name w:val="font21"/>
    <w:basedOn w:val="22"/>
    <w:qFormat/>
    <w:uiPriority w:val="0"/>
    <w:rPr>
      <w:rFonts w:ascii="宋体" w:hAnsi="宋体" w:eastAsia="宋体" w:cs="宋体"/>
      <w:color w:val="000000"/>
      <w:sz w:val="22"/>
      <w:szCs w:val="22"/>
      <w:u w:val="none"/>
    </w:rPr>
  </w:style>
  <w:style w:type="character" w:customStyle="1" w:styleId="54">
    <w:name w:val="font41"/>
    <w:basedOn w:val="22"/>
    <w:qFormat/>
    <w:uiPriority w:val="0"/>
    <w:rPr>
      <w:rFonts w:ascii="宋体" w:hAnsi="宋体" w:eastAsia="宋体" w:cs="宋体"/>
      <w:color w:val="000000"/>
      <w:sz w:val="22"/>
      <w:szCs w:val="22"/>
      <w:u w:val="none"/>
    </w:rPr>
  </w:style>
  <w:style w:type="paragraph" w:customStyle="1" w:styleId="55">
    <w:name w:val="节标题"/>
    <w:basedOn w:val="1"/>
    <w:next w:val="1"/>
    <w:qFormat/>
    <w:uiPriority w:val="0"/>
    <w:pPr>
      <w:widowControl/>
      <w:spacing w:line="289" w:lineRule="atLeast"/>
      <w:jc w:val="center"/>
      <w:textAlignment w:val="baseline"/>
    </w:pPr>
    <w:rPr>
      <w:color w:val="000000"/>
      <w:kern w:val="0"/>
      <w:sz w:val="28"/>
      <w:szCs w:val="20"/>
      <w:u w:val="none"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2022-01-07T02:28:58Z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83CF88A9210749FCA218DD0C051CCD1D</vt:lpwstr>
  </property>
</Properties>
</file>