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霍山县融媒体中心栏目包装制作询价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霍山县融媒体中心栏目包装制作</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HSYD-2023-0302</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三月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霍山县融媒体中心栏目包装制作</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霍山县融媒体中心栏目包装制作</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霍山县融媒体中心栏目包装制作</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合肥融视数字传媒科技有限公司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安徽精策文化传媒有限公司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合肥新黄影视文化传媒有限公司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霍山县融媒体中心栏目包装制作</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HSYD-2023-0302</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50000.00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7、项目最高限价：50000.00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以签订合同为准</w:t>
      </w:r>
      <w:r>
        <w:rPr>
          <w:rFonts w:hint="eastAsia" w:ascii="宋体" w:hAnsi="宋体" w:cs="宋体"/>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霍山县融媒体中心栏目包装制作，具体工作内容详见采购文件和采购需求清单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3月6日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23</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3</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10</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w:t>
      </w:r>
      <w:r>
        <w:rPr>
          <w:rFonts w:hint="eastAsia" w:ascii="宋体" w:hAnsi="宋体" w:cs="宋体"/>
          <w:i w:val="0"/>
          <w:caps w:val="0"/>
          <w:color w:val="auto"/>
          <w:spacing w:val="0"/>
          <w:sz w:val="21"/>
          <w:szCs w:val="21"/>
          <w:highlight w:val="none"/>
          <w:u w:val="single"/>
          <w:shd w:val="clear" w:color="auto" w:fill="FFFFFF"/>
          <w:lang w:val="en-US" w:eastAsia="zh-CN"/>
        </w:rPr>
        <w:t>00</w:t>
      </w:r>
      <w:r>
        <w:rPr>
          <w:rFonts w:hint="eastAsia" w:ascii="宋体" w:hAnsi="宋体" w:cs="宋体"/>
          <w:i w:val="0"/>
          <w:caps w:val="0"/>
          <w:color w:val="auto"/>
          <w:spacing w:val="0"/>
          <w:sz w:val="21"/>
          <w:szCs w:val="21"/>
          <w:highlight w:val="none"/>
          <w:u w:val="single"/>
          <w:shd w:val="clear" w:color="auto" w:fill="FFFFFF"/>
          <w:lang w:eastAsia="zh-CN"/>
        </w:rPr>
        <w:t>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bookmarkStart w:id="78" w:name="_GoBack"/>
      <w:bookmarkEnd w:id="78"/>
      <w:r>
        <w:rPr>
          <w:rFonts w:hint="eastAsia" w:ascii="宋体" w:hAnsi="宋体" w:cs="宋体"/>
          <w:i w:val="0"/>
          <w:caps w:val="0"/>
          <w:color w:val="auto"/>
          <w:spacing w:val="0"/>
          <w:sz w:val="21"/>
          <w:szCs w:val="21"/>
          <w:highlight w:val="none"/>
          <w:shd w:val="clear" w:color="auto" w:fill="FFFFFF"/>
          <w:lang w:val="en-US" w:eastAsia="zh-CN"/>
        </w:rPr>
        <w:t>15305645066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3月6日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15305645066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霍山县融媒体中心栏目包装制作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伍万元整（￥50000.00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项目完成一次付清。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10</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0</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12806"/>
      <w:bookmarkStart w:id="15" w:name="_Toc438648662"/>
      <w:bookmarkStart w:id="16" w:name="_Toc216158625"/>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23222"/>
      <w:bookmarkStart w:id="28" w:name="_Toc47129909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4"/>
        <w:keepNext w:val="0"/>
        <w:keepLines w:val="0"/>
        <w:pageBreakBefore w:val="0"/>
        <w:widowControl w:val="0"/>
        <w:kinsoku/>
        <w:wordWrap/>
        <w:overflowPunct/>
        <w:topLinePunct w:val="0"/>
        <w:autoSpaceDE/>
        <w:autoSpaceDN/>
        <w:bidi w:val="0"/>
        <w:adjustRightInd w:val="0"/>
        <w:snapToGrid/>
        <w:jc w:val="left"/>
        <w:textAlignment w:val="baseline"/>
        <w:rPr>
          <w:rFonts w:hint="eastAsia" w:ascii="宋体" w:hAnsi="宋体" w:eastAsia="宋体" w:cs="宋体"/>
          <w:b/>
          <w:color w:val="auto"/>
          <w:kern w:val="0"/>
          <w:sz w:val="32"/>
          <w:szCs w:val="32"/>
          <w:highlight w:val="none"/>
          <w:lang w:val="en-US" w:eastAsia="zh-CN" w:bidi="ar-SA"/>
        </w:rPr>
      </w:pPr>
      <w:bookmarkStart w:id="34" w:name="_Toc4288_WPSOffice_Level1"/>
      <w:bookmarkStart w:id="35" w:name="_Toc11297"/>
      <w:r>
        <w:rPr>
          <w:rFonts w:hint="eastAsia" w:ascii="宋体" w:hAnsi="宋体" w:eastAsia="宋体" w:cs="宋体"/>
          <w:b/>
          <w:color w:val="auto"/>
          <w:kern w:val="0"/>
          <w:sz w:val="32"/>
          <w:szCs w:val="32"/>
          <w:highlight w:val="none"/>
          <w:lang w:val="en-US" w:eastAsia="zh-CN" w:bidi="ar-SA"/>
        </w:rPr>
        <w:t>1霍山新闻栏目片头15秒1920*1080，5天700元/秒10500</w:t>
      </w:r>
    </w:p>
    <w:p>
      <w:pPr>
        <w:pStyle w:val="4"/>
        <w:keepNext w:val="0"/>
        <w:keepLines w:val="0"/>
        <w:pageBreakBefore w:val="0"/>
        <w:widowControl w:val="0"/>
        <w:kinsoku/>
        <w:wordWrap/>
        <w:overflowPunct/>
        <w:topLinePunct w:val="0"/>
        <w:autoSpaceDE/>
        <w:autoSpaceDN/>
        <w:bidi w:val="0"/>
        <w:adjustRightInd w:val="0"/>
        <w:snapToGrid/>
        <w:jc w:val="left"/>
        <w:textAlignment w:val="baseline"/>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整体色调以深蓝调为主，通过镜头穿梭辅以线条、粒子光线等，主体为球形元素，穿插大别山、霍山区块，台标，佛子岭水库等，风格清爽干净。</w:t>
      </w:r>
    </w:p>
    <w:p>
      <w:pPr>
        <w:pStyle w:val="4"/>
        <w:keepNext w:val="0"/>
        <w:keepLines w:val="0"/>
        <w:pageBreakBefore w:val="0"/>
        <w:widowControl w:val="0"/>
        <w:kinsoku/>
        <w:wordWrap/>
        <w:overflowPunct/>
        <w:topLinePunct w:val="0"/>
        <w:autoSpaceDE/>
        <w:autoSpaceDN/>
        <w:bidi w:val="0"/>
        <w:adjustRightInd w:val="0"/>
        <w:snapToGrid/>
        <w:jc w:val="left"/>
        <w:textAlignment w:val="baseline"/>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2党建栏目：红缘先锋片头，时代先锋和先锋试点两片花15秒+5秒+5秒1920*1080，5天700元/秒17500党建风格元素，红色为主色调，主题鲜明。</w:t>
      </w:r>
    </w:p>
    <w:p>
      <w:pPr>
        <w:pStyle w:val="4"/>
        <w:keepNext w:val="0"/>
        <w:keepLines w:val="0"/>
        <w:pageBreakBefore w:val="0"/>
        <w:widowControl w:val="0"/>
        <w:kinsoku/>
        <w:wordWrap/>
        <w:overflowPunct/>
        <w:topLinePunct w:val="0"/>
        <w:autoSpaceDE/>
        <w:autoSpaceDN/>
        <w:bidi w:val="0"/>
        <w:adjustRightInd w:val="0"/>
        <w:snapToGrid/>
        <w:jc w:val="left"/>
        <w:textAlignment w:val="baseline"/>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3医院栏目：中医院养生堂和健康医疗咨询台10秒*2，1920*1080，3天700元/秒14000中医院结合些药材等元素，色调偏青绿色，结合实拍画面，风格贴近民生。</w:t>
      </w:r>
    </w:p>
    <w:p>
      <w:pPr>
        <w:pStyle w:val="4"/>
        <w:keepNext w:val="0"/>
        <w:keepLines w:val="0"/>
        <w:pageBreakBefore w:val="0"/>
        <w:widowControl w:val="0"/>
        <w:kinsoku/>
        <w:wordWrap/>
        <w:overflowPunct/>
        <w:topLinePunct w:val="0"/>
        <w:autoSpaceDE/>
        <w:autoSpaceDN/>
        <w:bidi w:val="0"/>
        <w:adjustRightInd w:val="0"/>
        <w:snapToGrid/>
        <w:jc w:val="left"/>
        <w:textAlignment w:val="baseline"/>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4频道呼号10秒1920*1080，3天700元/秒7000结合霍山的山水演变出霍山的台标。</w:t>
      </w:r>
    </w:p>
    <w:p>
      <w:pPr>
        <w:pStyle w:val="4"/>
        <w:keepNext w:val="0"/>
        <w:keepLines w:val="0"/>
        <w:pageBreakBefore w:val="0"/>
        <w:widowControl w:val="0"/>
        <w:kinsoku/>
        <w:wordWrap/>
        <w:overflowPunct/>
        <w:topLinePunct w:val="0"/>
        <w:autoSpaceDE/>
        <w:autoSpaceDN/>
        <w:bidi w:val="0"/>
        <w:adjustRightInd w:val="0"/>
        <w:snapToGrid/>
        <w:jc w:val="left"/>
        <w:textAlignment w:val="baseline"/>
        <w:rPr>
          <w:rFonts w:hint="default"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5动态标识整套1920*1080，1天1000元/套1000包含：字幕条，采访字幕，角标，内容提要，片尾，主持人背景。</w:t>
      </w: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471299103"/>
      <w:bookmarkStart w:id="48" w:name="_Toc5932"/>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471299104"/>
      <w:bookmarkStart w:id="52" w:name="_Toc31656"/>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516969098"/>
      <w:bookmarkStart w:id="57" w:name="_Toc3858_WPSOffice_Level1"/>
      <w:bookmarkStart w:id="58" w:name="_Toc148501698"/>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30711"/>
      <w:bookmarkStart w:id="61" w:name="_Toc471299106"/>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19844_WPSOffice_Level1"/>
      <w:bookmarkStart w:id="75" w:name="_Toc3085"/>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OTY5MjZmODlkMWMxMGE4ZTI3YTBjZjVlNGRhZDc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3A3643"/>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47529D"/>
    <w:rsid w:val="6A5A6DA2"/>
    <w:rsid w:val="6AF61310"/>
    <w:rsid w:val="6B1F0F58"/>
    <w:rsid w:val="6B225547"/>
    <w:rsid w:val="6B272448"/>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8</TotalTime>
  <ScaleCrop>false</ScaleCrop>
  <LinksUpToDate>false</LinksUpToDate>
  <CharactersWithSpaces>11002</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2023-03-06T09:18:56Z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83CF88A9210749FCA218DD0C051CCD1D</vt:lpwstr>
  </property>
</Properties>
</file>