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360" w:beforeLines="150" w:line="1700" w:lineRule="exact"/>
        <w:jc w:val="center"/>
        <w:rPr>
          <w:rFonts w:ascii="宋体" w:hAnsi="宋体"/>
          <w:b/>
          <w:bCs/>
          <w:sz w:val="52"/>
          <w:szCs w:val="52"/>
        </w:rPr>
      </w:pPr>
      <w:r>
        <w:rPr>
          <w:rFonts w:hint="eastAsia" w:ascii="宋体" w:hAnsi="宋体"/>
          <w:b/>
          <w:bCs/>
          <w:sz w:val="52"/>
          <w:szCs w:val="52"/>
          <w:lang w:eastAsia="zh-CN"/>
        </w:rPr>
        <w:t>霍山县治超非现场执法卡点及治超监控中心建设设计项目</w:t>
      </w:r>
      <w:r>
        <w:rPr>
          <w:rFonts w:hint="eastAsia" w:ascii="宋体" w:hAnsi="宋体"/>
          <w:b/>
          <w:bCs/>
          <w:sz w:val="52"/>
          <w:szCs w:val="52"/>
        </w:rPr>
        <w:t>竞争性磋商文件</w:t>
      </w:r>
    </w:p>
    <w:p>
      <w:pPr>
        <w:tabs>
          <w:tab w:val="left" w:pos="315"/>
          <w:tab w:val="left" w:pos="8820"/>
        </w:tabs>
        <w:jc w:val="center"/>
        <w:rPr>
          <w:rFonts w:ascii="仿宋_GB2312" w:eastAsia="仿宋_GB2312"/>
          <w:sz w:val="28"/>
          <w:szCs w:val="28"/>
        </w:rPr>
      </w:pPr>
      <w:r>
        <w:rPr>
          <w:rFonts w:hint="eastAsia" w:ascii="仿宋_GB2312" w:eastAsia="仿宋_GB2312"/>
          <w:sz w:val="28"/>
          <w:szCs w:val="28"/>
        </w:rPr>
        <w:t>（服务类）</w:t>
      </w:r>
    </w:p>
    <w:p>
      <w:pPr>
        <w:pStyle w:val="34"/>
        <w:ind w:firstLine="0"/>
        <w:jc w:val="center"/>
        <w:rPr>
          <w:rFonts w:ascii="仿宋_GB2312" w:eastAsia="仿宋_GB2312"/>
          <w:b/>
          <w:sz w:val="28"/>
          <w:szCs w:val="28"/>
        </w:rPr>
      </w:pPr>
    </w:p>
    <w:p>
      <w:pPr>
        <w:tabs>
          <w:tab w:val="left" w:pos="315"/>
          <w:tab w:val="left" w:pos="8820"/>
        </w:tabs>
        <w:spacing w:before="240" w:beforeLines="100" w:after="120" w:afterLines="50" w:line="500" w:lineRule="exact"/>
        <w:ind w:right="267" w:rightChars="127"/>
        <w:jc w:val="center"/>
        <w:rPr>
          <w:rFonts w:ascii="仿宋_GB2312" w:eastAsia="仿宋_GB2312"/>
          <w:sz w:val="44"/>
        </w:rPr>
      </w:pPr>
    </w:p>
    <w:p>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pPr>
        <w:tabs>
          <w:tab w:val="left" w:pos="2410"/>
        </w:tabs>
        <w:autoSpaceDE w:val="0"/>
        <w:autoSpaceDN w:val="0"/>
        <w:adjustRightInd w:val="0"/>
        <w:snapToGrid w:val="0"/>
        <w:spacing w:line="600" w:lineRule="exact"/>
        <w:ind w:left="2616" w:leftChars="480" w:hanging="1608" w:hangingChars="445"/>
        <w:jc w:val="left"/>
        <w:rPr>
          <w:rFonts w:ascii="宋体" w:hAnsi="DotumChe" w:cs="宋体"/>
          <w:b/>
          <w:spacing w:val="20"/>
          <w:kern w:val="0"/>
          <w:sz w:val="32"/>
          <w:szCs w:val="32"/>
        </w:rPr>
      </w:pPr>
    </w:p>
    <w:p>
      <w:pPr>
        <w:tabs>
          <w:tab w:val="left" w:pos="2410"/>
        </w:tabs>
        <w:autoSpaceDE w:val="0"/>
        <w:autoSpaceDN w:val="0"/>
        <w:adjustRightInd w:val="0"/>
        <w:snapToGrid w:val="0"/>
        <w:spacing w:line="600" w:lineRule="exact"/>
        <w:ind w:left="1050" w:leftChars="500"/>
        <w:jc w:val="left"/>
        <w:rPr>
          <w:rFonts w:hint="eastAsia" w:ascii="宋体" w:hAnsi="DotumChe" w:eastAsia="宋体" w:cs="宋体"/>
          <w:b/>
          <w:spacing w:val="11"/>
          <w:kern w:val="0"/>
          <w:sz w:val="28"/>
          <w:szCs w:val="28"/>
          <w:lang w:eastAsia="zh-CN"/>
        </w:rPr>
      </w:pPr>
      <w:r>
        <w:rPr>
          <w:rFonts w:hint="eastAsia" w:ascii="宋体" w:hAnsi="DotumChe" w:cs="宋体"/>
          <w:b/>
          <w:spacing w:val="11"/>
          <w:kern w:val="0"/>
          <w:sz w:val="28"/>
          <w:szCs w:val="28"/>
        </w:rPr>
        <w:t>项目名称：</w:t>
      </w:r>
      <w:r>
        <w:rPr>
          <w:rFonts w:hint="eastAsia" w:ascii="宋体" w:hAnsi="DotumChe" w:cs="宋体"/>
          <w:b/>
          <w:spacing w:val="11"/>
          <w:kern w:val="0"/>
          <w:sz w:val="28"/>
          <w:szCs w:val="28"/>
          <w:lang w:eastAsia="zh-CN"/>
        </w:rPr>
        <w:t>霍山县治超非现场执法卡点及治超监控中心建设设计项目</w:t>
      </w:r>
    </w:p>
    <w:p>
      <w:pPr>
        <w:tabs>
          <w:tab w:val="left" w:pos="2410"/>
        </w:tabs>
        <w:autoSpaceDE w:val="0"/>
        <w:autoSpaceDN w:val="0"/>
        <w:adjustRightInd w:val="0"/>
        <w:snapToGrid w:val="0"/>
        <w:spacing w:line="600" w:lineRule="exact"/>
        <w:ind w:left="1050" w:leftChars="500"/>
        <w:jc w:val="left"/>
        <w:rPr>
          <w:rFonts w:hint="default"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项目编号：</w:t>
      </w:r>
      <w:r>
        <w:rPr>
          <w:rFonts w:hint="eastAsia" w:ascii="宋体" w:hAnsi="DotumChe" w:cs="宋体"/>
          <w:b/>
          <w:spacing w:val="11"/>
          <w:kern w:val="0"/>
          <w:sz w:val="28"/>
          <w:szCs w:val="28"/>
          <w:lang w:val="en-US" w:eastAsia="zh-CN"/>
        </w:rPr>
        <w:t>HSYD-2023-0407</w:t>
      </w:r>
    </w:p>
    <w:p>
      <w:pPr>
        <w:tabs>
          <w:tab w:val="left" w:pos="2410"/>
        </w:tabs>
        <w:autoSpaceDE w:val="0"/>
        <w:autoSpaceDN w:val="0"/>
        <w:adjustRightInd w:val="0"/>
        <w:snapToGrid w:val="0"/>
        <w:spacing w:line="600" w:lineRule="exact"/>
        <w:ind w:left="1050" w:leftChars="500"/>
        <w:jc w:val="left"/>
        <w:rPr>
          <w:rFonts w:ascii="宋体" w:hAnsi="DotumChe" w:cs="宋体"/>
          <w:b/>
          <w:spacing w:val="11"/>
          <w:kern w:val="0"/>
          <w:sz w:val="28"/>
          <w:szCs w:val="28"/>
        </w:rPr>
      </w:pPr>
      <w:r>
        <w:rPr>
          <w:rFonts w:hint="eastAsia" w:ascii="宋体" w:hAnsi="DotumChe" w:cs="宋体"/>
          <w:b/>
          <w:spacing w:val="11"/>
          <w:kern w:val="0"/>
          <w:sz w:val="28"/>
          <w:szCs w:val="28"/>
        </w:rPr>
        <w:t>采 购 人：</w:t>
      </w:r>
      <w:r>
        <w:rPr>
          <w:rFonts w:hint="eastAsia" w:ascii="宋体" w:hAnsi="DotumChe" w:eastAsia="宋体" w:cs="宋体"/>
          <w:b/>
          <w:spacing w:val="11"/>
          <w:kern w:val="0"/>
          <w:sz w:val="28"/>
          <w:szCs w:val="28"/>
          <w:lang w:val="en-US" w:eastAsia="zh-CN"/>
        </w:rPr>
        <w:t>霍山县交通运输综合行政执法大队</w:t>
      </w:r>
    </w:p>
    <w:p>
      <w:pPr>
        <w:tabs>
          <w:tab w:val="left" w:pos="2410"/>
        </w:tabs>
        <w:autoSpaceDE w:val="0"/>
        <w:autoSpaceDN w:val="0"/>
        <w:adjustRightInd w:val="0"/>
        <w:snapToGrid w:val="0"/>
        <w:spacing w:line="600" w:lineRule="exact"/>
        <w:ind w:left="1050" w:leftChars="500"/>
        <w:jc w:val="left"/>
        <w:rPr>
          <w:rFonts w:hint="eastAsia"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采购代理机构：</w:t>
      </w:r>
      <w:r>
        <w:rPr>
          <w:rFonts w:hint="eastAsia" w:ascii="宋体" w:hAnsi="DotumChe" w:cs="宋体"/>
          <w:b/>
          <w:spacing w:val="11"/>
          <w:kern w:val="0"/>
          <w:sz w:val="28"/>
          <w:szCs w:val="28"/>
          <w:lang w:val="en-US" w:eastAsia="zh-CN"/>
        </w:rPr>
        <w:t>霍山永达工程咨询有限公司</w:t>
      </w:r>
    </w:p>
    <w:p>
      <w:pPr>
        <w:tabs>
          <w:tab w:val="left" w:pos="2410"/>
        </w:tabs>
        <w:autoSpaceDE w:val="0"/>
        <w:autoSpaceDN w:val="0"/>
        <w:adjustRightInd w:val="0"/>
        <w:snapToGrid w:val="0"/>
        <w:spacing w:line="600" w:lineRule="exact"/>
        <w:ind w:left="1050" w:leftChars="500"/>
        <w:jc w:val="left"/>
        <w:rPr>
          <w:rFonts w:ascii="宋体" w:hAnsi="DotumChe" w:cs="宋体"/>
          <w:b/>
          <w:spacing w:val="11"/>
          <w:kern w:val="0"/>
          <w:sz w:val="28"/>
          <w:szCs w:val="28"/>
        </w:rPr>
      </w:pPr>
      <w:r>
        <w:rPr>
          <w:rFonts w:hint="eastAsia" w:ascii="宋体" w:hAnsi="DotumChe" w:cs="宋体"/>
          <w:b/>
          <w:spacing w:val="11"/>
          <w:kern w:val="0"/>
          <w:sz w:val="28"/>
          <w:szCs w:val="28"/>
        </w:rPr>
        <w:t>采购时间：</w:t>
      </w:r>
      <w:r>
        <w:rPr>
          <w:rFonts w:hint="eastAsia" w:ascii="宋体" w:hAnsi="DotumChe" w:cs="宋体"/>
          <w:b/>
          <w:spacing w:val="11"/>
          <w:kern w:val="0"/>
          <w:sz w:val="28"/>
          <w:szCs w:val="28"/>
          <w:lang w:val="en-US" w:eastAsia="zh-CN"/>
        </w:rPr>
        <w:t>2023年4月</w:t>
      </w:r>
      <w:r>
        <w:rPr>
          <w:rFonts w:ascii="宋体" w:hAnsi="DotumChe" w:cs="宋体"/>
          <w:b/>
          <w:spacing w:val="11"/>
          <w:kern w:val="0"/>
          <w:sz w:val="28"/>
          <w:szCs w:val="28"/>
        </w:rPr>
        <w:t xml:space="preserve"> </w:t>
      </w:r>
    </w:p>
    <w:p>
      <w:pPr>
        <w:spacing w:line="360" w:lineRule="auto"/>
        <w:rPr>
          <w:sz w:val="32"/>
          <w:szCs w:val="32"/>
        </w:rPr>
      </w:pPr>
    </w:p>
    <w:p>
      <w:pPr>
        <w:jc w:val="center"/>
        <w:rPr>
          <w:sz w:val="28"/>
          <w:szCs w:val="28"/>
        </w:rPr>
      </w:pPr>
      <w:r>
        <w:rPr>
          <w:rFonts w:hint="eastAsia"/>
          <w:b/>
          <w:sz w:val="28"/>
          <w:szCs w:val="28"/>
        </w:rPr>
        <w:br w:type="page"/>
      </w:r>
      <w:bookmarkStart w:id="0" w:name="_Toc216158623"/>
      <w:bookmarkStart w:id="1" w:name="_Toc363199264"/>
    </w:p>
    <w:p>
      <w:pPr>
        <w:pStyle w:val="4"/>
        <w:spacing w:before="120" w:beforeLines="50" w:after="120" w:afterLines="50" w:line="520" w:lineRule="exact"/>
        <w:jc w:val="center"/>
        <w:rPr>
          <w:rFonts w:ascii="华文中宋" w:hAnsi="华文中宋" w:eastAsia="华文中宋" w:cs="华文中宋"/>
          <w:b w:val="0"/>
          <w:bCs/>
          <w:sz w:val="44"/>
          <w:szCs w:val="44"/>
        </w:rPr>
      </w:pPr>
      <w:bookmarkStart w:id="2" w:name="_Toc1863"/>
      <w:bookmarkStart w:id="3" w:name="_Toc30186"/>
      <w:r>
        <w:rPr>
          <w:rFonts w:hint="eastAsia" w:ascii="华文中宋" w:hAnsi="华文中宋" w:eastAsia="华文中宋" w:cs="华文中宋"/>
          <w:b w:val="0"/>
          <w:bCs/>
          <w:sz w:val="44"/>
          <w:szCs w:val="44"/>
          <w:lang w:eastAsia="zh-CN"/>
        </w:rPr>
        <w:t>霍山县治超非现场执法卡点及治超监控中心建设设计项目</w:t>
      </w:r>
      <w:r>
        <w:rPr>
          <w:rFonts w:hint="eastAsia" w:ascii="华文中宋" w:hAnsi="华文中宋" w:eastAsia="华文中宋" w:cs="华文中宋"/>
          <w:b w:val="0"/>
          <w:bCs/>
          <w:sz w:val="44"/>
          <w:szCs w:val="44"/>
        </w:rPr>
        <w:t>竞争性磋商采购公告</w:t>
      </w:r>
      <w:bookmarkEnd w:id="2"/>
      <w:bookmarkEnd w:id="3"/>
    </w:p>
    <w:p>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霍山县治超非现场执法卡点及治超监控中心建设设计项目</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HSYD-2023-0407</w:t>
      </w:r>
      <w:r>
        <w:rPr>
          <w:rFonts w:hint="eastAsia" w:ascii="仿宋" w:hAnsi="仿宋" w:eastAsia="仿宋" w:cs="仿宋"/>
          <w:sz w:val="28"/>
          <w:szCs w:val="28"/>
          <w:u w:val="single"/>
        </w:rPr>
        <w:t>）</w:t>
      </w:r>
      <w:r>
        <w:rPr>
          <w:rFonts w:hint="eastAsia" w:ascii="仿宋" w:hAnsi="仿宋" w:eastAsia="仿宋" w:cs="仿宋"/>
          <w:sz w:val="28"/>
          <w:szCs w:val="28"/>
        </w:rPr>
        <w:t>的潜在供应商应在</w:t>
      </w:r>
      <w:r>
        <w:rPr>
          <w:rFonts w:hint="eastAsia" w:ascii="仿宋" w:hAnsi="仿宋" w:eastAsia="仿宋" w:cs="仿宋"/>
          <w:sz w:val="28"/>
          <w:szCs w:val="28"/>
          <w:lang w:val="en-US" w:eastAsia="zh-CN"/>
        </w:rPr>
        <w:t>霍山永达工程咨询有限公司网站</w:t>
      </w:r>
      <w:r>
        <w:rPr>
          <w:rFonts w:hint="eastAsia" w:ascii="仿宋" w:hAnsi="仿宋" w:eastAsia="仿宋" w:cs="仿宋"/>
          <w:sz w:val="28"/>
          <w:szCs w:val="28"/>
        </w:rPr>
        <w:t>（</w:t>
      </w:r>
      <w:r>
        <w:rPr>
          <w:rFonts w:hint="eastAsia"/>
        </w:rPr>
        <w:fldChar w:fldCharType="begin"/>
      </w:r>
      <w:r>
        <w:rPr>
          <w:rFonts w:hint="eastAsia" w:ascii="仿宋" w:hAnsi="仿宋" w:eastAsia="仿宋" w:cs="仿宋"/>
          <w:sz w:val="28"/>
          <w:szCs w:val="28"/>
        </w:rPr>
        <w:instrText xml:space="preserve"> HYPERLINK "http://ggzy.luan.gov.cn）获取采购文件，并于" </w:instrText>
      </w:r>
      <w:r>
        <w:rPr>
          <w:rFonts w:hint="eastAsia"/>
        </w:rPr>
        <w:fldChar w:fldCharType="separate"/>
      </w:r>
      <w:r>
        <w:rPr>
          <w:rStyle w:val="42"/>
          <w:rFonts w:hint="eastAsia" w:ascii="仿宋" w:hAnsi="仿宋" w:eastAsia="仿宋" w:cs="仿宋"/>
          <w:sz w:val="28"/>
          <w:szCs w:val="28"/>
          <w:lang w:val="en-US" w:eastAsia="zh-CN"/>
        </w:rPr>
        <w:t>www.hsydgczx.com</w:t>
      </w:r>
      <w:r>
        <w:rPr>
          <w:rStyle w:val="42"/>
          <w:rFonts w:hint="eastAsia" w:ascii="仿宋" w:hAnsi="仿宋" w:eastAsia="仿宋" w:cs="仿宋"/>
          <w:sz w:val="28"/>
          <w:szCs w:val="28"/>
        </w:rPr>
        <w:t>）获取采购文件，并于</w:t>
      </w:r>
      <w:r>
        <w:rPr>
          <w:rStyle w:val="42"/>
          <w:rFonts w:hint="eastAsia" w:ascii="仿宋" w:hAnsi="仿宋" w:eastAsia="仿宋" w:cs="仿宋"/>
          <w:sz w:val="28"/>
          <w:szCs w:val="28"/>
        </w:rPr>
        <w:fldChar w:fldCharType="end"/>
      </w:r>
      <w:r>
        <w:rPr>
          <w:rFonts w:hint="eastAsia" w:ascii="仿宋" w:hAnsi="仿宋" w:eastAsia="仿宋" w:cs="仿宋"/>
          <w:sz w:val="28"/>
          <w:szCs w:val="28"/>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28</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 xml:space="preserve">  </w:t>
      </w:r>
      <w:r>
        <w:rPr>
          <w:rFonts w:hint="eastAsia" w:ascii="仿宋" w:hAnsi="仿宋" w:eastAsia="仿宋" w:cs="仿宋"/>
          <w:sz w:val="28"/>
          <w:szCs w:val="28"/>
        </w:rPr>
        <w:t>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00</w:t>
      </w:r>
      <w:r>
        <w:rPr>
          <w:rFonts w:hint="eastAsia" w:ascii="仿宋" w:hAnsi="仿宋" w:eastAsia="仿宋" w:cs="仿宋"/>
          <w:sz w:val="28"/>
          <w:szCs w:val="28"/>
          <w:u w:val="single"/>
        </w:rPr>
        <w:t xml:space="preserve">  </w:t>
      </w:r>
      <w:r>
        <w:rPr>
          <w:rFonts w:hint="eastAsia" w:ascii="仿宋" w:hAnsi="仿宋" w:eastAsia="仿宋" w:cs="仿宋"/>
          <w:sz w:val="28"/>
          <w:szCs w:val="28"/>
        </w:rPr>
        <w:t>分（北京时间）前提交响应文件。</w:t>
      </w:r>
    </w:p>
    <w:p>
      <w:pPr>
        <w:pStyle w:val="4"/>
        <w:adjustRightInd/>
        <w:spacing w:before="0" w:after="0" w:line="520" w:lineRule="exact"/>
        <w:jc w:val="both"/>
        <w:textAlignment w:val="auto"/>
        <w:rPr>
          <w:rFonts w:ascii="黑体" w:hAnsi="黑体" w:cs="黑体"/>
          <w:b w:val="0"/>
          <w:bCs/>
          <w:sz w:val="28"/>
          <w:szCs w:val="28"/>
        </w:rPr>
      </w:pPr>
      <w:bookmarkStart w:id="4" w:name="_Toc9864"/>
      <w:bookmarkStart w:id="5" w:name="_Toc35393798"/>
      <w:bookmarkStart w:id="6" w:name="_Toc35393629"/>
      <w:bookmarkStart w:id="7" w:name="_Toc28359012"/>
      <w:bookmarkStart w:id="8" w:name="_Toc28359089"/>
      <w:r>
        <w:rPr>
          <w:rFonts w:hint="eastAsia" w:ascii="黑体" w:hAnsi="黑体" w:cs="黑体"/>
          <w:b w:val="0"/>
          <w:bCs/>
          <w:sz w:val="28"/>
          <w:szCs w:val="28"/>
        </w:rPr>
        <w:t>一、项目基本情况</w:t>
      </w:r>
      <w:bookmarkEnd w:id="4"/>
      <w:bookmarkEnd w:id="5"/>
      <w:bookmarkEnd w:id="6"/>
      <w:bookmarkEnd w:id="7"/>
      <w:bookmarkEnd w:id="8"/>
    </w:p>
    <w:p>
      <w:p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1、项目编号：</w:t>
      </w:r>
      <w:r>
        <w:rPr>
          <w:rFonts w:hint="eastAsia" w:ascii="仿宋" w:hAnsi="仿宋" w:eastAsia="仿宋" w:cs="仿宋"/>
          <w:sz w:val="28"/>
          <w:szCs w:val="28"/>
          <w:lang w:val="en-US" w:eastAsia="zh-CN"/>
        </w:rPr>
        <w:t>HSYD-2023-0407</w:t>
      </w:r>
    </w:p>
    <w:p>
      <w:pPr>
        <w:spacing w:line="520" w:lineRule="exact"/>
        <w:ind w:left="479" w:leftChars="228"/>
        <w:rPr>
          <w:rFonts w:hint="eastAsia" w:ascii="仿宋" w:hAnsi="仿宋" w:eastAsia="仿宋" w:cs="仿宋"/>
          <w:sz w:val="28"/>
          <w:szCs w:val="28"/>
          <w:lang w:eastAsia="zh-CN"/>
        </w:rPr>
      </w:pPr>
      <w:r>
        <w:rPr>
          <w:rFonts w:hint="eastAsia" w:ascii="仿宋" w:hAnsi="仿宋" w:eastAsia="仿宋" w:cs="仿宋"/>
          <w:sz w:val="28"/>
          <w:szCs w:val="28"/>
        </w:rPr>
        <w:t>2、项目名称：</w:t>
      </w:r>
      <w:r>
        <w:rPr>
          <w:rFonts w:hint="eastAsia" w:ascii="仿宋" w:hAnsi="仿宋" w:eastAsia="仿宋" w:cs="仿宋"/>
          <w:sz w:val="28"/>
          <w:szCs w:val="28"/>
          <w:lang w:eastAsia="zh-CN"/>
        </w:rPr>
        <w:t>霍山县治超非现场执法卡点及治超监控中心建设设计项目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3、项目类型：服务类</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4、采购方式：竞争性磋商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5、预算金额：</w:t>
      </w:r>
      <w:r>
        <w:rPr>
          <w:rFonts w:hint="eastAsia" w:ascii="仿宋" w:hAnsi="仿宋" w:eastAsia="仿宋" w:cs="仿宋"/>
          <w:sz w:val="28"/>
          <w:szCs w:val="28"/>
          <w:u w:val="single"/>
          <w:lang w:val="en-US" w:eastAsia="zh-CN"/>
        </w:rPr>
        <w:t>50000.00</w:t>
      </w:r>
      <w:r>
        <w:rPr>
          <w:rFonts w:hint="eastAsia" w:ascii="仿宋" w:hAnsi="仿宋" w:eastAsia="仿宋" w:cs="仿宋"/>
          <w:sz w:val="28"/>
          <w:szCs w:val="28"/>
        </w:rPr>
        <w:t>元</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6、最高限价(如有)：</w:t>
      </w:r>
      <w:r>
        <w:rPr>
          <w:rFonts w:hint="eastAsia" w:ascii="仿宋" w:hAnsi="仿宋" w:eastAsia="仿宋" w:cs="仿宋"/>
          <w:sz w:val="28"/>
          <w:szCs w:val="28"/>
          <w:u w:val="single"/>
          <w:lang w:val="en-US" w:eastAsia="zh-CN"/>
        </w:rPr>
        <w:t>50000.00</w:t>
      </w:r>
      <w:r>
        <w:rPr>
          <w:rFonts w:hint="eastAsia" w:ascii="仿宋" w:hAnsi="仿宋" w:eastAsia="仿宋" w:cs="仿宋"/>
          <w:sz w:val="28"/>
          <w:szCs w:val="28"/>
        </w:rPr>
        <w:t>元</w:t>
      </w:r>
    </w:p>
    <w:p>
      <w:pPr>
        <w:widowControl/>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7、采购需求：</w:t>
      </w:r>
      <w:r>
        <w:rPr>
          <w:rFonts w:hint="eastAsia" w:ascii="仿宋" w:hAnsi="仿宋" w:eastAsia="仿宋" w:cs="仿宋"/>
          <w:sz w:val="28"/>
          <w:szCs w:val="28"/>
          <w:lang w:val="en-US" w:eastAsia="zh-CN"/>
        </w:rPr>
        <w:t>详见采购需求</w:t>
      </w:r>
      <w:r>
        <w:rPr>
          <w:rFonts w:hint="eastAsia" w:ascii="仿宋" w:hAnsi="仿宋" w:eastAsia="仿宋" w:cs="仿宋"/>
          <w:sz w:val="28"/>
          <w:szCs w:val="28"/>
        </w:rPr>
        <w:t>。</w:t>
      </w:r>
    </w:p>
    <w:p>
      <w:pPr>
        <w:widowControl/>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8、合同履行期限：签订合同后20日历天内完成设计成果（包括但不限于设计方案成果的电子版、图纸等），并承担由于采购人审批而出现的反复修改的工作责任。</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9、是否接受联合体：本项目不接受联合体。</w:t>
      </w:r>
    </w:p>
    <w:p>
      <w:pPr>
        <w:pStyle w:val="4"/>
        <w:adjustRightInd/>
        <w:spacing w:before="0" w:after="0" w:line="520" w:lineRule="exact"/>
        <w:jc w:val="both"/>
        <w:textAlignment w:val="auto"/>
        <w:rPr>
          <w:rFonts w:ascii="黑体" w:hAnsi="黑体" w:cs="黑体"/>
          <w:b w:val="0"/>
          <w:bCs/>
          <w:sz w:val="28"/>
          <w:szCs w:val="28"/>
        </w:rPr>
      </w:pPr>
      <w:bookmarkStart w:id="9" w:name="_Toc35393630"/>
      <w:bookmarkStart w:id="10" w:name="_Toc8072"/>
      <w:bookmarkStart w:id="11" w:name="_Toc28359090"/>
      <w:bookmarkStart w:id="12" w:name="_Toc35393799"/>
      <w:bookmarkStart w:id="13" w:name="_Toc28359013"/>
      <w:bookmarkStart w:id="14" w:name="_Toc28359014"/>
      <w:bookmarkStart w:id="15" w:name="_Toc28359091"/>
      <w:r>
        <w:rPr>
          <w:rFonts w:hint="eastAsia" w:ascii="黑体" w:hAnsi="黑体" w:cs="黑体"/>
          <w:b w:val="0"/>
          <w:bCs/>
          <w:sz w:val="28"/>
          <w:szCs w:val="28"/>
        </w:rPr>
        <w:t>二、申请人的资格要求</w:t>
      </w:r>
      <w:bookmarkEnd w:id="9"/>
      <w:bookmarkEnd w:id="10"/>
      <w:bookmarkEnd w:id="11"/>
      <w:bookmarkEnd w:id="12"/>
      <w:bookmarkEnd w:id="13"/>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、供应商应具有独立法人资格；</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、供应商应具有电子通信广电行业（有线通信或通信工程）乙级及以上专业资质；</w:t>
      </w:r>
      <w:bookmarkStart w:id="146" w:name="_GoBack"/>
      <w:bookmarkEnd w:id="146"/>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、本项目不接受联合体参与投标；</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、供应商存在以下不良信用记录情形之一的，不得推荐为成交候选供应商，不得确定为成交供应商（仅以下述渠道查询结果为准，其他网站无效）：</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信用中国官网（www.creditchina.gov.cn）；</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(2）供应商被工商行政管理部门列入企业经营异常名录的，</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国家企业信用信息公示系统网站（www.gsxt.gov.cn）；</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信用中国官网（www.creditchina.gov.cn）；</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(4）供应商被政府采购监管部门列入政府采购严重违法失信行为记录名单的，</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中国政府采购官网（www.ccgp.gov.cn）。</w:t>
      </w:r>
    </w:p>
    <w:p>
      <w:pPr>
        <w:pStyle w:val="4"/>
        <w:adjustRightInd/>
        <w:spacing w:before="0" w:after="0" w:line="520" w:lineRule="exact"/>
        <w:jc w:val="both"/>
        <w:textAlignment w:val="auto"/>
        <w:rPr>
          <w:rFonts w:ascii="黑体" w:hAnsi="黑体" w:cs="黑体"/>
          <w:b w:val="0"/>
          <w:bCs/>
          <w:sz w:val="28"/>
          <w:szCs w:val="28"/>
        </w:rPr>
      </w:pPr>
      <w:bookmarkStart w:id="16" w:name="_Toc35393631"/>
      <w:bookmarkStart w:id="17" w:name="_Toc32583"/>
      <w:bookmarkStart w:id="18" w:name="_Toc35393800"/>
      <w:r>
        <w:rPr>
          <w:rFonts w:hint="eastAsia" w:ascii="黑体" w:hAnsi="黑体" w:cs="黑体"/>
          <w:b w:val="0"/>
          <w:bCs/>
          <w:sz w:val="28"/>
          <w:szCs w:val="28"/>
        </w:rPr>
        <w:t>三、获取采购文件</w:t>
      </w:r>
      <w:bookmarkEnd w:id="14"/>
      <w:bookmarkEnd w:id="15"/>
      <w:bookmarkEnd w:id="16"/>
      <w:bookmarkEnd w:id="17"/>
      <w:bookmarkEnd w:id="18"/>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1、时间：</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2023</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4</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25</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日至</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2023</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4</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28</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r>
        <w:rPr>
          <w:rFonts w:hint="eastAsia" w:ascii="仿宋" w:hAnsi="仿宋" w:eastAsia="仿宋" w:cs="仿宋"/>
          <w:sz w:val="28"/>
          <w:szCs w:val="28"/>
        </w:rPr>
        <w:t>（北京时间）</w:t>
      </w:r>
    </w:p>
    <w:p>
      <w:pPr>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2、地点：</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fldChar w:fldCharType="begin"/>
      </w:r>
      <w:r>
        <w:instrText xml:space="preserve"> HYPERLINK "http://ggjfwpt.luan.gov.cn/" </w:instrText>
      </w:r>
      <w:r>
        <w:fldChar w:fldCharType="separate"/>
      </w:r>
      <w:r>
        <w:rPr>
          <w:rFonts w:hint="eastAsia" w:ascii="仿宋" w:hAnsi="仿宋" w:eastAsia="仿宋" w:cs="仿宋"/>
          <w:sz w:val="28"/>
          <w:szCs w:val="28"/>
          <w:lang w:eastAsia="zh-CN"/>
        </w:rPr>
        <w:t>www.hsydgczx.com</w:t>
      </w:r>
      <w:r>
        <w:rPr>
          <w:rFonts w:hint="eastAsia" w:ascii="仿宋" w:hAnsi="仿宋" w:eastAsia="仿宋" w:cs="仿宋"/>
          <w:sz w:val="28"/>
          <w:szCs w:val="28"/>
        </w:rPr>
        <w:fldChar w:fldCharType="end"/>
      </w:r>
      <w:r>
        <w:rPr>
          <w:rFonts w:hint="eastAsia" w:ascii="仿宋" w:hAnsi="仿宋" w:eastAsia="仿宋" w:cs="仿宋"/>
          <w:sz w:val="28"/>
          <w:szCs w:val="28"/>
        </w:rPr>
        <w:t>）</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3、获取方式：本项目采购文件（答疑澄清等相关文件资料）从</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下载。</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4、售价：零元</w:t>
      </w:r>
    </w:p>
    <w:p>
      <w:pPr>
        <w:pStyle w:val="4"/>
        <w:adjustRightInd/>
        <w:spacing w:before="0" w:after="0" w:line="520" w:lineRule="exact"/>
        <w:jc w:val="both"/>
        <w:textAlignment w:val="auto"/>
        <w:rPr>
          <w:rFonts w:ascii="黑体" w:hAnsi="黑体" w:cs="黑体"/>
          <w:b w:val="0"/>
          <w:bCs/>
          <w:sz w:val="28"/>
          <w:szCs w:val="28"/>
        </w:rPr>
      </w:pPr>
      <w:bookmarkStart w:id="19" w:name="_Toc28359015"/>
      <w:bookmarkStart w:id="20" w:name="_Toc28359092"/>
      <w:bookmarkStart w:id="21" w:name="_Toc35393632"/>
      <w:bookmarkStart w:id="22" w:name="_Toc35393801"/>
      <w:bookmarkStart w:id="23" w:name="_Toc26077"/>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spacing w:line="520" w:lineRule="exact"/>
        <w:ind w:firstLine="560" w:firstLineChars="200"/>
        <w:rPr>
          <w:rFonts w:ascii="仿宋" w:hAnsi="仿宋" w:eastAsia="仿宋" w:cs="仿宋"/>
          <w:bCs/>
          <w:sz w:val="28"/>
          <w:szCs w:val="28"/>
        </w:rPr>
      </w:pPr>
      <w:r>
        <w:rPr>
          <w:rFonts w:hint="eastAsia" w:ascii="仿宋" w:hAnsi="仿宋" w:eastAsia="仿宋" w:cs="仿宋"/>
          <w:sz w:val="28"/>
          <w:szCs w:val="28"/>
        </w:rPr>
        <w:t>1、截止时间：</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2023</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4</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28</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9</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点</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00</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分（北京时间）</w:t>
      </w:r>
    </w:p>
    <w:p>
      <w:pPr>
        <w:widowControl/>
        <w:spacing w:line="52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2、提交方式：</w:t>
      </w:r>
      <w:r>
        <w:rPr>
          <w:rFonts w:hint="eastAsia" w:ascii="仿宋" w:hAnsi="仿宋" w:eastAsia="仿宋" w:cs="仿宋"/>
          <w:kern w:val="0"/>
          <w:sz w:val="28"/>
          <w:szCs w:val="28"/>
          <w:lang w:val="en-US" w:eastAsia="zh-CN"/>
        </w:rPr>
        <w:t>现场递交</w:t>
      </w:r>
      <w:r>
        <w:rPr>
          <w:rFonts w:hint="eastAsia" w:ascii="仿宋" w:hAnsi="仿宋" w:eastAsia="仿宋" w:cs="仿宋"/>
          <w:kern w:val="0"/>
          <w:sz w:val="28"/>
          <w:szCs w:val="28"/>
        </w:rPr>
        <w:t>。</w:t>
      </w:r>
    </w:p>
    <w:p>
      <w:pPr>
        <w:pStyle w:val="4"/>
        <w:adjustRightInd/>
        <w:spacing w:before="0" w:after="0" w:line="520" w:lineRule="exact"/>
        <w:jc w:val="both"/>
        <w:textAlignment w:val="auto"/>
        <w:rPr>
          <w:rFonts w:ascii="黑体" w:hAnsi="黑体" w:cs="黑体"/>
          <w:b w:val="0"/>
          <w:bCs/>
          <w:sz w:val="28"/>
          <w:szCs w:val="28"/>
        </w:rPr>
      </w:pPr>
      <w:bookmarkStart w:id="24" w:name="_Toc35393802"/>
      <w:bookmarkStart w:id="25" w:name="_Toc28359093"/>
      <w:bookmarkStart w:id="26" w:name="_Toc28359016"/>
      <w:bookmarkStart w:id="27" w:name="_Toc35393633"/>
      <w:bookmarkStart w:id="28" w:name="_Toc11900"/>
      <w:r>
        <w:rPr>
          <w:rFonts w:hint="eastAsia" w:ascii="黑体" w:hAnsi="黑体" w:cs="黑体"/>
          <w:b w:val="0"/>
          <w:bCs/>
          <w:sz w:val="28"/>
          <w:szCs w:val="28"/>
        </w:rPr>
        <w:t>五、</w:t>
      </w:r>
      <w:bookmarkEnd w:id="24"/>
      <w:bookmarkEnd w:id="25"/>
      <w:bookmarkEnd w:id="26"/>
      <w:bookmarkEnd w:id="27"/>
      <w:r>
        <w:rPr>
          <w:rFonts w:hint="eastAsia" w:ascii="黑体" w:hAnsi="黑体" w:cs="黑体"/>
          <w:b w:val="0"/>
          <w:bCs/>
          <w:sz w:val="28"/>
          <w:szCs w:val="28"/>
        </w:rPr>
        <w:t>响应文件开启</w:t>
      </w:r>
      <w:bookmarkEnd w:id="28"/>
    </w:p>
    <w:p>
      <w:pPr>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1、时间：</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2023</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4</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28</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9</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点</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00</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分</w:t>
      </w:r>
      <w:r>
        <w:rPr>
          <w:rFonts w:hint="eastAsia" w:ascii="仿宋" w:hAnsi="仿宋" w:eastAsia="仿宋" w:cs="仿宋"/>
          <w:sz w:val="28"/>
          <w:szCs w:val="28"/>
        </w:rPr>
        <w:t>（北京时间）</w:t>
      </w:r>
    </w:p>
    <w:p>
      <w:pPr>
        <w:pStyle w:val="34"/>
        <w:spacing w:after="0"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2、地点：</w:t>
      </w:r>
      <w:r>
        <w:rPr>
          <w:rFonts w:hint="eastAsia" w:ascii="仿宋" w:hAnsi="仿宋" w:eastAsia="仿宋" w:cs="仿宋"/>
          <w:sz w:val="28"/>
          <w:szCs w:val="28"/>
          <w:lang w:val="en-US" w:eastAsia="zh-CN"/>
        </w:rPr>
        <w:t>霍山永达工程咨询有限公司三楼开标厅</w:t>
      </w:r>
    </w:p>
    <w:p>
      <w:pPr>
        <w:pStyle w:val="4"/>
        <w:adjustRightInd/>
        <w:spacing w:before="0" w:after="0" w:line="520" w:lineRule="exact"/>
        <w:jc w:val="both"/>
        <w:textAlignment w:val="auto"/>
        <w:rPr>
          <w:rFonts w:ascii="黑体" w:hAnsi="黑体" w:cs="黑体"/>
          <w:b w:val="0"/>
          <w:bCs/>
          <w:sz w:val="28"/>
          <w:szCs w:val="28"/>
        </w:rPr>
      </w:pPr>
      <w:bookmarkStart w:id="29" w:name="_Toc28359094"/>
      <w:bookmarkStart w:id="30" w:name="_Toc6439"/>
      <w:bookmarkStart w:id="31" w:name="_Toc28359017"/>
      <w:bookmarkStart w:id="32" w:name="_Toc35393634"/>
      <w:bookmarkStart w:id="33" w:name="_Toc35393803"/>
      <w:r>
        <w:rPr>
          <w:rFonts w:hint="eastAsia" w:ascii="黑体" w:hAnsi="黑体" w:cs="黑体"/>
          <w:b w:val="0"/>
          <w:bCs/>
          <w:sz w:val="28"/>
          <w:szCs w:val="28"/>
        </w:rPr>
        <w:t>六、公告期限</w:t>
      </w:r>
      <w:bookmarkEnd w:id="29"/>
      <w:bookmarkEnd w:id="30"/>
      <w:bookmarkEnd w:id="31"/>
      <w:bookmarkEnd w:id="32"/>
      <w:bookmarkEnd w:id="33"/>
    </w:p>
    <w:p>
      <w:pPr>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pStyle w:val="4"/>
        <w:adjustRightInd/>
        <w:spacing w:before="0" w:after="0" w:line="520" w:lineRule="exact"/>
        <w:jc w:val="both"/>
        <w:textAlignment w:val="auto"/>
        <w:rPr>
          <w:rFonts w:ascii="黑体" w:hAnsi="黑体" w:cs="黑体"/>
          <w:b w:val="0"/>
          <w:bCs/>
          <w:sz w:val="28"/>
          <w:szCs w:val="28"/>
        </w:rPr>
      </w:pPr>
      <w:bookmarkStart w:id="34" w:name="_Toc35393805"/>
      <w:bookmarkStart w:id="35" w:name="_Toc28359095"/>
      <w:bookmarkStart w:id="36" w:name="_Toc35393636"/>
      <w:bookmarkStart w:id="37" w:name="_Toc28359018"/>
      <w:bookmarkStart w:id="38" w:name="_Toc7807"/>
      <w:bookmarkStart w:id="39" w:name="_Toc21256"/>
      <w:r>
        <w:rPr>
          <w:rFonts w:hint="eastAsia" w:ascii="黑体" w:hAnsi="黑体" w:cs="黑体"/>
          <w:b w:val="0"/>
          <w:bCs/>
          <w:sz w:val="28"/>
          <w:szCs w:val="28"/>
          <w:lang w:val="en-US" w:eastAsia="zh-CN"/>
        </w:rPr>
        <w:t>七</w:t>
      </w:r>
      <w:r>
        <w:rPr>
          <w:rFonts w:hint="eastAsia" w:ascii="黑体" w:hAnsi="黑体" w:cs="黑体"/>
          <w:b w:val="0"/>
          <w:bCs/>
          <w:sz w:val="28"/>
          <w:szCs w:val="28"/>
        </w:rPr>
        <w:t>、凡对本次采购提出询问，请按以下方式联系。</w:t>
      </w:r>
      <w:bookmarkEnd w:id="34"/>
      <w:bookmarkEnd w:id="35"/>
      <w:bookmarkEnd w:id="36"/>
      <w:bookmarkEnd w:id="37"/>
      <w:bookmarkEnd w:id="38"/>
      <w:bookmarkEnd w:id="39"/>
    </w:p>
    <w:p>
      <w:pPr>
        <w:pStyle w:val="4"/>
        <w:adjustRightInd/>
        <w:spacing w:before="0" w:after="0" w:line="520" w:lineRule="exact"/>
        <w:ind w:firstLine="560" w:firstLineChars="200"/>
        <w:jc w:val="both"/>
        <w:textAlignment w:val="auto"/>
        <w:rPr>
          <w:rFonts w:ascii="仿宋" w:hAnsi="仿宋" w:eastAsia="仿宋" w:cs="仿宋"/>
          <w:b w:val="0"/>
          <w:bCs/>
          <w:sz w:val="28"/>
          <w:szCs w:val="28"/>
        </w:rPr>
      </w:pPr>
      <w:bookmarkStart w:id="40" w:name="_Toc35393806"/>
      <w:bookmarkStart w:id="41" w:name="_Toc28359019"/>
      <w:bookmarkStart w:id="42" w:name="_Toc28359096"/>
      <w:bookmarkStart w:id="43" w:name="_Toc17822"/>
      <w:bookmarkStart w:id="44" w:name="_Toc35393637"/>
      <w:bookmarkStart w:id="45" w:name="_Toc12167"/>
      <w:r>
        <w:rPr>
          <w:rFonts w:hint="eastAsia" w:ascii="仿宋" w:hAnsi="仿宋" w:eastAsia="仿宋" w:cs="仿宋"/>
          <w:b w:val="0"/>
          <w:bCs/>
          <w:sz w:val="28"/>
          <w:szCs w:val="28"/>
        </w:rPr>
        <w:t>1、采购人信息</w:t>
      </w:r>
      <w:bookmarkEnd w:id="40"/>
      <w:bookmarkEnd w:id="41"/>
      <w:bookmarkEnd w:id="42"/>
      <w:bookmarkEnd w:id="43"/>
      <w:bookmarkEnd w:id="44"/>
      <w:bookmarkEnd w:id="45"/>
    </w:p>
    <w:p>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名    称：霍山县交通运输综合行政执法大队</w:t>
      </w:r>
    </w:p>
    <w:p>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地    址：霍山县衡山镇</w:t>
      </w:r>
    </w:p>
    <w:p>
      <w:pPr>
        <w:spacing w:line="52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bookmarkStart w:id="46" w:name="_Toc28359020"/>
      <w:bookmarkStart w:id="47" w:name="_Toc28359097"/>
      <w:bookmarkStart w:id="48" w:name="_Toc35393638"/>
      <w:bookmarkStart w:id="49" w:name="_Toc35393807"/>
      <w:r>
        <w:rPr>
          <w:rFonts w:hint="eastAsia" w:ascii="仿宋" w:hAnsi="仿宋" w:eastAsia="仿宋" w:cs="仿宋"/>
          <w:bCs/>
          <w:sz w:val="28"/>
          <w:szCs w:val="28"/>
          <w:lang w:val="en-US" w:eastAsia="zh-CN"/>
        </w:rPr>
        <w:t>0564-5021016</w:t>
      </w:r>
    </w:p>
    <w:p>
      <w:pPr>
        <w:numPr>
          <w:ilvl w:val="0"/>
          <w:numId w:val="2"/>
        </w:num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采购代理机构信息</w:t>
      </w:r>
      <w:bookmarkEnd w:id="46"/>
      <w:bookmarkEnd w:id="47"/>
      <w:bookmarkEnd w:id="48"/>
      <w:bookmarkEnd w:id="49"/>
      <w:bookmarkStart w:id="50" w:name="_Toc35393639"/>
      <w:bookmarkStart w:id="51" w:name="_Toc28359098"/>
      <w:bookmarkStart w:id="52" w:name="_Toc35393808"/>
      <w:bookmarkStart w:id="53" w:name="_Toc28359021"/>
    </w:p>
    <w:p>
      <w:pPr>
        <w:spacing w:line="520" w:lineRule="exact"/>
        <w:ind w:left="420" w:leftChars="200"/>
        <w:rPr>
          <w:rFonts w:hint="eastAsia" w:ascii="仿宋" w:hAnsi="仿宋" w:eastAsia="仿宋" w:cs="仿宋"/>
          <w:bCs/>
          <w:sz w:val="28"/>
          <w:szCs w:val="28"/>
          <w:lang w:val="en-US" w:eastAsia="zh-CN"/>
        </w:rPr>
      </w:pPr>
      <w:r>
        <w:rPr>
          <w:rFonts w:hint="eastAsia" w:ascii="仿宋" w:hAnsi="仿宋" w:eastAsia="仿宋" w:cs="仿宋"/>
          <w:bCs/>
          <w:sz w:val="28"/>
          <w:szCs w:val="28"/>
        </w:rPr>
        <w:t>名 称：</w:t>
      </w:r>
      <w:r>
        <w:rPr>
          <w:rFonts w:hint="eastAsia" w:ascii="仿宋" w:hAnsi="仿宋" w:eastAsia="仿宋" w:cs="仿宋"/>
          <w:bCs/>
          <w:sz w:val="28"/>
          <w:szCs w:val="28"/>
          <w:lang w:val="en-US" w:eastAsia="zh-CN"/>
        </w:rPr>
        <w:t>霍山永达工程咨询有限公司</w:t>
      </w:r>
    </w:p>
    <w:p>
      <w:pPr>
        <w:spacing w:line="520" w:lineRule="exact"/>
        <w:ind w:left="420" w:leftChars="200"/>
        <w:rPr>
          <w:rFonts w:ascii="仿宋" w:hAnsi="仿宋" w:eastAsia="仿宋" w:cs="仿宋"/>
          <w:bCs/>
          <w:sz w:val="28"/>
          <w:szCs w:val="28"/>
        </w:rPr>
      </w:pPr>
      <w:r>
        <w:rPr>
          <w:rFonts w:hint="eastAsia" w:ascii="仿宋" w:hAnsi="仿宋" w:eastAsia="仿宋" w:cs="仿宋"/>
          <w:bCs/>
          <w:sz w:val="28"/>
          <w:szCs w:val="28"/>
        </w:rPr>
        <w:t>地　址：霍山县衡山镇中兴南路14号</w:t>
      </w:r>
    </w:p>
    <w:p>
      <w:pPr>
        <w:spacing w:line="520" w:lineRule="exact"/>
        <w:ind w:left="420" w:leftChars="200"/>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18005649621</w:t>
      </w:r>
    </w:p>
    <w:p>
      <w:pPr>
        <w:spacing w:line="520" w:lineRule="exact"/>
        <w:ind w:left="420" w:leftChars="200"/>
        <w:rPr>
          <w:rFonts w:ascii="仿宋" w:hAnsi="仿宋" w:eastAsia="仿宋" w:cs="仿宋"/>
          <w:bCs/>
          <w:sz w:val="28"/>
          <w:szCs w:val="28"/>
        </w:rPr>
      </w:pPr>
      <w:r>
        <w:rPr>
          <w:rFonts w:hint="eastAsia" w:ascii="仿宋" w:hAnsi="仿宋" w:eastAsia="仿宋" w:cs="仿宋"/>
          <w:bCs/>
          <w:sz w:val="28"/>
          <w:szCs w:val="28"/>
        </w:rPr>
        <w:t>3、项目联系方式</w:t>
      </w:r>
      <w:bookmarkEnd w:id="50"/>
      <w:bookmarkEnd w:id="51"/>
      <w:bookmarkEnd w:id="52"/>
      <w:bookmarkEnd w:id="53"/>
    </w:p>
    <w:p>
      <w:pPr>
        <w:widowControl/>
        <w:spacing w:line="52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鲍先生</w:t>
      </w:r>
    </w:p>
    <w:p>
      <w:pPr>
        <w:widowControl/>
        <w:spacing w:line="52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18005649621</w:t>
      </w:r>
    </w:p>
    <w:p>
      <w:pPr>
        <w:pStyle w:val="34"/>
        <w:spacing w:line="520" w:lineRule="exact"/>
        <w:ind w:firstLine="0"/>
        <w:rPr>
          <w:rFonts w:ascii="仿宋" w:hAnsi="仿宋" w:eastAsia="仿宋" w:cs="仿宋"/>
          <w:bCs/>
          <w:sz w:val="28"/>
          <w:szCs w:val="28"/>
        </w:rPr>
      </w:pPr>
    </w:p>
    <w:p>
      <w:pPr>
        <w:spacing w:line="520" w:lineRule="exact"/>
        <w:jc w:val="right"/>
        <w:rPr>
          <w:rFonts w:ascii="仿宋" w:hAnsi="仿宋" w:eastAsia="仿宋" w:cs="仿宋"/>
          <w:bCs/>
          <w:sz w:val="28"/>
          <w:szCs w:val="28"/>
        </w:rPr>
      </w:pPr>
      <w:r>
        <w:rPr>
          <w:rFonts w:hint="eastAsia" w:ascii="仿宋" w:hAnsi="仿宋" w:eastAsia="仿宋" w:cs="仿宋"/>
          <w:bCs/>
          <w:sz w:val="28"/>
          <w:szCs w:val="28"/>
          <w:lang w:val="en-US" w:eastAsia="zh-CN"/>
        </w:rPr>
        <w:t>2023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4</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25</w:t>
      </w:r>
      <w:r>
        <w:rPr>
          <w:rFonts w:hint="eastAsia" w:ascii="仿宋" w:hAnsi="仿宋" w:eastAsia="仿宋" w:cs="仿宋"/>
          <w:bCs/>
          <w:sz w:val="28"/>
          <w:szCs w:val="28"/>
        </w:rPr>
        <w:t>日</w:t>
      </w:r>
    </w:p>
    <w:p>
      <w:pPr>
        <w:rPr>
          <w:rFonts w:ascii="宋体" w:hAnsi="宋体" w:cs="宋体"/>
          <w:sz w:val="28"/>
          <w:szCs w:val="28"/>
        </w:rPr>
      </w:pPr>
      <w:r>
        <w:rPr>
          <w:rFonts w:hint="eastAsia" w:ascii="宋体" w:hAnsi="宋体" w:cs="宋体"/>
          <w:sz w:val="28"/>
          <w:szCs w:val="28"/>
        </w:rPr>
        <w:br w:type="page"/>
      </w:r>
    </w:p>
    <w:p>
      <w:pPr>
        <w:pStyle w:val="4"/>
        <w:spacing w:before="120" w:beforeLines="50" w:after="120" w:afterLines="50" w:line="560" w:lineRule="exact"/>
        <w:jc w:val="center"/>
        <w:rPr>
          <w:rFonts w:ascii="宋体" w:hAnsi="宋体" w:eastAsia="宋体" w:cs="宋体"/>
          <w:sz w:val="28"/>
          <w:szCs w:val="28"/>
        </w:rPr>
      </w:pPr>
      <w:bookmarkStart w:id="54" w:name="_Toc21819"/>
      <w:r>
        <w:rPr>
          <w:rFonts w:hint="eastAsia" w:ascii="宋体" w:hAnsi="宋体" w:eastAsia="宋体" w:cs="宋体"/>
          <w:sz w:val="28"/>
          <w:szCs w:val="28"/>
        </w:rPr>
        <w:t>一、供应商须知</w:t>
      </w:r>
      <w:bookmarkEnd w:id="0"/>
      <w:bookmarkEnd w:id="1"/>
      <w:bookmarkEnd w:id="54"/>
    </w:p>
    <w:p>
      <w:pPr>
        <w:pStyle w:val="4"/>
        <w:spacing w:before="0" w:after="0" w:line="560" w:lineRule="exact"/>
        <w:jc w:val="center"/>
        <w:rPr>
          <w:rFonts w:ascii="宋体" w:hAnsi="宋体" w:eastAsia="宋体" w:cs="宋体"/>
          <w:sz w:val="24"/>
          <w:szCs w:val="24"/>
        </w:rPr>
      </w:pPr>
      <w:bookmarkStart w:id="55" w:name="_Toc22568"/>
      <w:r>
        <w:rPr>
          <w:rFonts w:hint="eastAsia" w:ascii="宋体" w:hAnsi="宋体" w:eastAsia="宋体" w:cs="宋体"/>
          <w:sz w:val="24"/>
          <w:szCs w:val="24"/>
        </w:rPr>
        <w:t>（一）须知前附表</w:t>
      </w:r>
      <w:bookmarkEnd w:id="55"/>
    </w:p>
    <w:tbl>
      <w:tblPr>
        <w:tblStyle w:val="3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sz w:val="24"/>
                <w:szCs w:val="24"/>
              </w:rPr>
            </w:pPr>
            <w:bookmarkStart w:id="56" w:name="_Toc438107743"/>
            <w:bookmarkStart w:id="57" w:name="_Toc216158627"/>
            <w:bookmarkStart w:id="58" w:name="_Toc363199267"/>
            <w:r>
              <w:rPr>
                <w:rFonts w:hint="eastAsia" w:ascii="宋体" w:hAnsi="宋体"/>
                <w:b/>
                <w:sz w:val="24"/>
                <w:szCs w:val="24"/>
              </w:rPr>
              <w:t>序号</w:t>
            </w:r>
          </w:p>
        </w:tc>
        <w:tc>
          <w:tcPr>
            <w:tcW w:w="1502"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pPr>
              <w:pStyle w:val="89"/>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pPr>
              <w:spacing w:line="440" w:lineRule="exact"/>
              <w:rPr>
                <w:sz w:val="24"/>
                <w:szCs w:val="24"/>
              </w:rPr>
            </w:pPr>
            <w:r>
              <w:rPr>
                <w:rFonts w:hint="eastAsia"/>
                <w:sz w:val="24"/>
                <w:szCs w:val="24"/>
              </w:rPr>
              <w:t>霍山县交通运输综合行政执法大队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pPr>
              <w:spacing w:line="440" w:lineRule="exact"/>
              <w:jc w:val="left"/>
              <w:rPr>
                <w:rFonts w:hint="eastAsia" w:ascii="宋体" w:hAnsi="宋体" w:eastAsia="宋体"/>
                <w:sz w:val="24"/>
                <w:szCs w:val="24"/>
                <w:lang w:val="en-US" w:eastAsia="zh-CN"/>
              </w:rPr>
            </w:pPr>
            <w:r>
              <w:rPr>
                <w:rFonts w:hint="eastAsia" w:ascii="宋体" w:hAnsi="宋体"/>
                <w:sz w:val="24"/>
                <w:szCs w:val="24"/>
              </w:rPr>
              <w:t>名称：</w:t>
            </w:r>
            <w:r>
              <w:rPr>
                <w:rFonts w:hint="eastAsia" w:ascii="宋体" w:hAnsi="宋体"/>
                <w:sz w:val="24"/>
                <w:szCs w:val="24"/>
                <w:lang w:val="en-US" w:eastAsia="zh-CN"/>
              </w:rPr>
              <w:t>霍山永达工程咨询有限公司</w:t>
            </w:r>
          </w:p>
          <w:p>
            <w:pPr>
              <w:spacing w:line="440" w:lineRule="exact"/>
              <w:jc w:val="left"/>
              <w:rPr>
                <w:b/>
                <w:bCs/>
                <w:sz w:val="24"/>
                <w:szCs w:val="24"/>
              </w:rPr>
            </w:pPr>
            <w:r>
              <w:rPr>
                <w:rFonts w:hint="eastAsia"/>
                <w:sz w:val="24"/>
                <w:szCs w:val="24"/>
              </w:rPr>
              <w:t>地址：霍山县衡山镇中兴南路14号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磋商有效期</w:t>
            </w:r>
          </w:p>
        </w:tc>
        <w:tc>
          <w:tcPr>
            <w:tcW w:w="7308" w:type="dxa"/>
            <w:vAlign w:val="center"/>
          </w:tcPr>
          <w:p>
            <w:pPr>
              <w:pStyle w:val="89"/>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w:t>
            </w:r>
            <w:r>
              <w:rPr>
                <w:rFonts w:hint="eastAsia"/>
                <w:b w:val="0"/>
                <w:bCs w:val="0"/>
                <w:sz w:val="24"/>
                <w:szCs w:val="24"/>
                <w:lang w:val="en-US" w:eastAsia="zh-CN"/>
              </w:rPr>
              <w:t>6</w:t>
            </w:r>
            <w:r>
              <w:rPr>
                <w:rFonts w:hint="eastAsia"/>
                <w:b w:val="0"/>
                <w:bCs w:val="0"/>
                <w:sz w:val="24"/>
                <w:szCs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pPr>
              <w:spacing w:line="440" w:lineRule="exact"/>
              <w:jc w:val="center"/>
              <w:rPr>
                <w:rFonts w:ascii="宋体" w:hAnsi="宋体"/>
                <w:b/>
                <w:sz w:val="24"/>
                <w:szCs w:val="24"/>
              </w:rPr>
            </w:pPr>
            <w:r>
              <w:rPr>
                <w:rFonts w:hint="eastAsia" w:ascii="宋体" w:hAnsi="宋体"/>
                <w:b/>
                <w:sz w:val="24"/>
                <w:szCs w:val="24"/>
              </w:rPr>
              <w:t>项目类型</w:t>
            </w:r>
          </w:p>
        </w:tc>
        <w:tc>
          <w:tcPr>
            <w:tcW w:w="7308" w:type="dxa"/>
            <w:vAlign w:val="center"/>
          </w:tcPr>
          <w:p>
            <w:pPr>
              <w:pStyle w:val="89"/>
              <w:widowControl w:val="0"/>
              <w:spacing w:before="0" w:beforeAutospacing="0" w:after="0" w:afterAutospacing="0" w:line="440" w:lineRule="exact"/>
              <w:jc w:val="both"/>
              <w:rPr>
                <w:b w:val="0"/>
                <w:bCs w:val="0"/>
                <w:sz w:val="24"/>
                <w:szCs w:val="24"/>
              </w:rPr>
            </w:pPr>
            <w:r>
              <w:rPr>
                <w:rFonts w:hint="eastAsia"/>
                <w:b w:val="0"/>
                <w:bCs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pPr>
              <w:pStyle w:val="89"/>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霍山县治超非现场执法卡点及治超监控中心建设设计项目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308" w:type="dxa"/>
            <w:vAlign w:val="center"/>
          </w:tcPr>
          <w:p>
            <w:pPr>
              <w:pStyle w:val="89"/>
              <w:widowControl w:val="0"/>
              <w:spacing w:before="0" w:beforeAutospacing="0" w:after="0" w:afterAutospacing="0" w:line="440" w:lineRule="exact"/>
              <w:jc w:val="both"/>
              <w:rPr>
                <w:rFonts w:hint="default" w:eastAsia="宋体"/>
                <w:b w:val="0"/>
                <w:sz w:val="24"/>
                <w:szCs w:val="24"/>
                <w:lang w:val="en-US" w:eastAsia="zh-CN"/>
              </w:rPr>
            </w:pPr>
            <w:r>
              <w:rPr>
                <w:rFonts w:hint="eastAsia"/>
                <w:b w:val="0"/>
                <w:sz w:val="24"/>
                <w:szCs w:val="24"/>
                <w:lang w:val="en-US" w:eastAsia="zh-CN"/>
              </w:rPr>
              <w:t>HSYD-2023-0407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4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308" w:type="dxa"/>
            <w:vAlign w:val="center"/>
          </w:tcPr>
          <w:p>
            <w:pPr>
              <w:pStyle w:val="89"/>
              <w:widowControl w:val="0"/>
              <w:spacing w:before="0" w:beforeAutospacing="0" w:after="0" w:afterAutospacing="0" w:line="440" w:lineRule="exact"/>
              <w:jc w:val="both"/>
              <w:rPr>
                <w:rFonts w:ascii="黑体" w:hAnsi="黑体" w:eastAsia="黑体" w:cs="黑体"/>
                <w:sz w:val="24"/>
                <w:szCs w:val="24"/>
              </w:rPr>
            </w:pPr>
            <w:r>
              <w:rPr>
                <w:rFonts w:hint="eastAsia" w:asciiTheme="minorEastAsia" w:hAnsiTheme="minorEastAsia" w:eastAsiaTheme="minorEastAsia" w:cstheme="minorEastAsia"/>
                <w:b/>
                <w:bCs/>
                <w:sz w:val="24"/>
                <w:lang w:val="en-US" w:eastAsia="zh-CN"/>
              </w:rPr>
              <w:t>工程竣工验收合格后</w:t>
            </w:r>
            <w:r>
              <w:rPr>
                <w:rFonts w:hint="eastAsia" w:asciiTheme="minorEastAsia" w:hAnsiTheme="minorEastAsia" w:eastAsiaTheme="minorEastAsia" w:cstheme="minorEastAsia"/>
                <w:b/>
                <w:bCs/>
                <w:sz w:val="24"/>
              </w:rPr>
              <w:t>完成一次付清。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服务期</w:t>
            </w:r>
          </w:p>
        </w:tc>
        <w:tc>
          <w:tcPr>
            <w:tcW w:w="7308" w:type="dxa"/>
            <w:vAlign w:val="center"/>
          </w:tcPr>
          <w:p>
            <w:pPr>
              <w:pStyle w:val="89"/>
              <w:widowControl w:val="0"/>
              <w:spacing w:before="0" w:beforeAutospacing="0" w:after="0" w:afterAutospacing="0" w:line="440" w:lineRule="exact"/>
              <w:jc w:val="both"/>
              <w:rPr>
                <w:b w:val="0"/>
                <w:bCs w:val="0"/>
                <w:sz w:val="24"/>
                <w:szCs w:val="24"/>
              </w:rPr>
            </w:pPr>
            <w:r>
              <w:rPr>
                <w:rFonts w:hint="eastAsia"/>
                <w:b w:val="0"/>
                <w:bCs w:val="0"/>
                <w:sz w:val="24"/>
                <w:szCs w:val="24"/>
              </w:rPr>
              <w:t>签订合同后20日历天内完成设计成果（包括但不限于设计方案成果的电子版、图纸等），并承担由于采购人审批而出现的反复修改的工作责任。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9</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rPr>
              <w:t>中标服务费</w:t>
            </w:r>
          </w:p>
        </w:tc>
        <w:tc>
          <w:tcPr>
            <w:tcW w:w="7308" w:type="dxa"/>
            <w:vAlign w:val="center"/>
          </w:tcPr>
          <w:p>
            <w:pPr>
              <w:pStyle w:val="87"/>
              <w:pBdr>
                <w:bottom w:val="none" w:color="auto" w:sz="0" w:space="0"/>
              </w:pBdr>
              <w:tabs>
                <w:tab w:val="clear" w:pos="4153"/>
                <w:tab w:val="clear" w:pos="8306"/>
              </w:tabs>
              <w:adjustRightInd/>
              <w:spacing w:line="440" w:lineRule="exact"/>
              <w:jc w:val="left"/>
              <w:textAlignment w:val="auto"/>
              <w:rPr>
                <w:bCs/>
                <w:szCs w:val="24"/>
                <w:lang w:val="en-US"/>
              </w:rPr>
            </w:pPr>
            <w:r>
              <w:rPr>
                <w:rFonts w:hint="eastAsia"/>
                <w:bCs/>
                <w:szCs w:val="24"/>
                <w:lang w:val="en-US"/>
              </w:rPr>
              <w:t>根据《政府采购代理机构暂行办法》（财库〔2018〕2号）规定，收取采购代理服务费用，代理服务费用标准参照国家计委计价格[2002]1980号、国家发展改革委发改价格[2011]534号、安徽省物价局皖价服[2008]210号规定，投标人成交后在领取成交通知书前缴纳成交（成交）价1.5%的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59"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308" w:type="dxa"/>
            <w:vAlign w:val="center"/>
          </w:tcPr>
          <w:p>
            <w:pPr>
              <w:pStyle w:val="34"/>
              <w:ind w:firstLine="0"/>
              <w:rPr>
                <w:rFonts w:hint="eastAsia" w:eastAsia="宋体"/>
                <w:lang w:eastAsia="zh-CN"/>
              </w:rPr>
            </w:pPr>
            <w:r>
              <w:rPr>
                <w:rFonts w:hint="eastAsia" w:ascii="宋体" w:hAnsi="宋体" w:cs="宋体"/>
                <w:bCs/>
                <w:sz w:val="24"/>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11</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pPr>
              <w:pStyle w:val="87"/>
              <w:pBdr>
                <w:bottom w:val="none" w:color="auto" w:sz="0" w:space="0"/>
              </w:pBdr>
              <w:tabs>
                <w:tab w:val="clear" w:pos="4153"/>
                <w:tab w:val="clear" w:pos="8306"/>
              </w:tabs>
              <w:adjustRightInd/>
              <w:spacing w:line="40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请各供应商联系采购单位自行勘踏，采购人免费提供项目实施过程中各项对接协调服务。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pPr>
              <w:pStyle w:val="87"/>
              <w:pBdr>
                <w:bottom w:val="none" w:color="auto" w:sz="0" w:space="0"/>
              </w:pBdr>
              <w:tabs>
                <w:tab w:val="clear" w:pos="4153"/>
                <w:tab w:val="clear" w:pos="8306"/>
              </w:tabs>
              <w:adjustRightInd/>
              <w:spacing w:line="440" w:lineRule="exact"/>
              <w:jc w:val="left"/>
              <w:textAlignment w:val="auto"/>
              <w:rPr>
                <w:rFonts w:ascii="宋体" w:hAnsi="宋体"/>
                <w:bCs/>
                <w:color w:val="000000" w:themeColor="text1"/>
                <w:kern w:val="2"/>
                <w:szCs w:val="24"/>
                <w14:textFill>
                  <w14:solidFill>
                    <w14:schemeClr w14:val="tx1"/>
                  </w14:solidFill>
                </w14:textFill>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308" w:type="dxa"/>
            <w:vAlign w:val="center"/>
          </w:tcPr>
          <w:p>
            <w:pPr>
              <w:pStyle w:val="8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87"/>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于收到质疑文件后七个工作日内答复，请质疑人及时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3、请各潜在供应商在响应截止时间前，务必登录“</w:t>
            </w:r>
            <w:r>
              <w:rPr>
                <w:rFonts w:hint="eastAsia" w:ascii="宋体" w:hAnsi="宋体"/>
                <w:bCs/>
                <w:kern w:val="2"/>
                <w:szCs w:val="24"/>
                <w:lang w:val="en-US" w:eastAsia="zh-CN"/>
              </w:rPr>
              <w:t>霍山永达工程咨询有限公司网站</w:t>
            </w:r>
            <w:r>
              <w:rPr>
                <w:rFonts w:hint="eastAsia" w:ascii="宋体" w:hAnsi="宋体"/>
                <w:bCs/>
                <w:kern w:val="2"/>
                <w:szCs w:val="24"/>
                <w:lang w:eastAsia="zh-CN"/>
              </w:rPr>
              <w:t>（</w:t>
            </w:r>
            <w:r>
              <w:rPr>
                <w:rFonts w:hint="eastAsia" w:ascii="宋体" w:hAnsi="宋体"/>
                <w:bCs/>
                <w:kern w:val="2"/>
                <w:szCs w:val="24"/>
                <w:lang w:val="en-US" w:eastAsia="zh-CN"/>
              </w:rPr>
              <w:t>www.hsydgczx.com</w:t>
            </w:r>
            <w:r>
              <w:rPr>
                <w:rFonts w:hint="eastAsia" w:ascii="宋体" w:hAnsi="宋体"/>
                <w:bCs/>
                <w:kern w:val="2"/>
                <w:szCs w:val="24"/>
                <w:lang w:eastAsia="zh-CN"/>
              </w:rPr>
              <w:t>）</w:t>
            </w:r>
            <w:r>
              <w:rPr>
                <w:rFonts w:hint="eastAsia" w:ascii="宋体" w:hAnsi="宋体"/>
                <w:bCs/>
                <w:kern w:val="2"/>
                <w:szCs w:val="24"/>
              </w:rPr>
              <w:t>”</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pPr>
              <w:pStyle w:val="87"/>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pPr>
              <w:pStyle w:val="87"/>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87"/>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r>
              <w:rPr>
                <w:rFonts w:hint="eastAsia" w:ascii="宋体" w:hAnsi="宋体"/>
                <w:szCs w:val="24"/>
                <w:lang w:eastAsia="zh-CN"/>
              </w:rPr>
              <w:t>（胶装）</w:t>
            </w:r>
            <w:r>
              <w:rPr>
                <w:rFonts w:hint="eastAsia" w:ascii="宋体" w:hAnsi="宋体"/>
                <w:szCs w:val="24"/>
              </w:rPr>
              <w:t>。</w:t>
            </w:r>
          </w:p>
          <w:p>
            <w:pPr>
              <w:pStyle w:val="87"/>
              <w:numPr>
                <w:ilvl w:val="0"/>
                <w:numId w:val="3"/>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如果响应文件没有按规定装订、分装、标记和密封，采购人和代理机构不承担提前开封的责任。</w:t>
            </w:r>
          </w:p>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308" w:type="dxa"/>
            <w:vAlign w:val="center"/>
          </w:tcPr>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eastAsia="zh-CN"/>
              </w:rPr>
              <w:t>现场递交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308" w:type="dxa"/>
            <w:vAlign w:val="center"/>
          </w:tcPr>
          <w:p>
            <w:pPr>
              <w:spacing w:line="56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95"/>
              <w:spacing w:line="48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95"/>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1、存在以下不良信用记录情形之一的，不得推荐为成交候选供应商,评审时磋商小组应当按照下列第3条不良信用记录查询渠道对供应商是否存在不良信用记录进行查询：</w:t>
            </w:r>
          </w:p>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w:t>
            </w:r>
            <w:r>
              <w:rPr>
                <w:rFonts w:hint="eastAsia" w:ascii="宋体" w:hAnsi="宋体"/>
                <w:bCs/>
                <w:kern w:val="2"/>
                <w:szCs w:val="24"/>
                <w:lang w:eastAsia="zh-CN"/>
              </w:rPr>
              <w:t>严重违法失信企业</w:t>
            </w:r>
            <w:r>
              <w:rPr>
                <w:rFonts w:hint="eastAsia" w:ascii="宋体" w:hAnsi="宋体"/>
                <w:bCs/>
                <w:kern w:val="2"/>
                <w:szCs w:val="24"/>
              </w:rPr>
              <w:t>名录的；</w:t>
            </w:r>
          </w:p>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3、不良信用记录查询渠道如下：</w:t>
            </w:r>
          </w:p>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w:t>
            </w:r>
            <w:r>
              <w:rPr>
                <w:rFonts w:hint="eastAsia" w:ascii="宋体" w:hAnsi="宋体"/>
                <w:bCs/>
                <w:kern w:val="2"/>
                <w:szCs w:val="24"/>
                <w:lang w:eastAsia="zh-CN"/>
              </w:rPr>
              <w:t>严重违法失信企业</w:t>
            </w:r>
            <w:r>
              <w:rPr>
                <w:rFonts w:hint="eastAsia" w:ascii="宋体" w:hAnsi="宋体"/>
                <w:bCs/>
                <w:kern w:val="2"/>
                <w:szCs w:val="24"/>
              </w:rPr>
              <w:t>名录：信用中国官网（www.creditchina.gov.cn）</w:t>
            </w:r>
          </w:p>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502" w:type="dxa"/>
            <w:vAlign w:val="center"/>
          </w:tcPr>
          <w:p>
            <w:pPr>
              <w:pStyle w:val="87"/>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pPr>
              <w:pStyle w:val="87"/>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7"/>
              <w:pBdr>
                <w:bottom w:val="none" w:color="auto" w:sz="0" w:space="0"/>
              </w:pBdr>
              <w:tabs>
                <w:tab w:val="clear" w:pos="4153"/>
                <w:tab w:val="clear" w:pos="8306"/>
              </w:tabs>
              <w:adjustRightInd/>
              <w:spacing w:line="440" w:lineRule="exact"/>
              <w:textAlignment w:val="auto"/>
              <w:rPr>
                <w:rFonts w:hint="default" w:ascii="宋体" w:hAnsi="宋体" w:eastAsia="宋体" w:cs="Times New Roman"/>
                <w:b/>
                <w:kern w:val="2"/>
                <w:sz w:val="24"/>
                <w:szCs w:val="24"/>
                <w:lang w:val="en-US" w:eastAsia="zh-CN" w:bidi="ar-SA"/>
              </w:rPr>
            </w:pPr>
            <w:r>
              <w:rPr>
                <w:rFonts w:hint="eastAsia" w:ascii="宋体" w:hAnsi="宋体"/>
                <w:b/>
                <w:kern w:val="2"/>
                <w:szCs w:val="24"/>
                <w:lang w:val="en-US" w:eastAsia="zh-CN"/>
              </w:rPr>
              <w:t>19</w:t>
            </w:r>
          </w:p>
        </w:tc>
        <w:tc>
          <w:tcPr>
            <w:tcW w:w="1502" w:type="dxa"/>
            <w:vAlign w:val="center"/>
          </w:tcPr>
          <w:p>
            <w:pPr>
              <w:pStyle w:val="87"/>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kern w:val="2"/>
                <w:sz w:val="24"/>
                <w:szCs w:val="24"/>
                <w:lang w:val="en-US" w:eastAsia="zh-CN" w:bidi="ar-SA"/>
              </w:rPr>
            </w:pPr>
            <w:r>
              <w:rPr>
                <w:rFonts w:hint="eastAsia" w:ascii="宋体" w:hAnsi="宋体"/>
                <w:bCs/>
                <w:kern w:val="2"/>
                <w:szCs w:val="24"/>
                <w:lang w:val="en-US" w:eastAsia="zh-CN"/>
              </w:rPr>
              <w:t>磋商文件解释权</w:t>
            </w:r>
          </w:p>
        </w:tc>
        <w:tc>
          <w:tcPr>
            <w:tcW w:w="7308" w:type="dxa"/>
            <w:vAlign w:val="center"/>
          </w:tcPr>
          <w:p>
            <w:pPr>
              <w:pStyle w:val="87"/>
              <w:pBdr>
                <w:bottom w:val="none" w:color="auto" w:sz="0" w:space="0"/>
              </w:pBdr>
              <w:tabs>
                <w:tab w:val="clear" w:pos="4153"/>
                <w:tab w:val="clear" w:pos="8306"/>
              </w:tabs>
              <w:adjustRightInd/>
              <w:spacing w:line="440" w:lineRule="exact"/>
              <w:jc w:val="both"/>
              <w:textAlignment w:val="auto"/>
              <w:rPr>
                <w:rFonts w:hint="eastAsia" w:ascii="宋体" w:hAnsi="宋体" w:eastAsia="宋体" w:cs="Times New Roman"/>
                <w:b/>
                <w:kern w:val="2"/>
                <w:sz w:val="24"/>
                <w:szCs w:val="24"/>
                <w:lang w:val="en-US" w:eastAsia="zh-CN" w:bidi="ar-SA"/>
              </w:rPr>
            </w:pPr>
            <w:r>
              <w:rPr>
                <w:rFonts w:ascii="宋体" w:hAnsi="宋体" w:eastAsia="宋体" w:cs="宋体"/>
                <w:sz w:val="24"/>
                <w:szCs w:val="24"/>
              </w:rPr>
              <w:t>本</w:t>
            </w:r>
            <w:r>
              <w:rPr>
                <w:rFonts w:hint="eastAsia" w:ascii="宋体" w:hAnsi="宋体" w:cs="宋体"/>
                <w:sz w:val="24"/>
                <w:szCs w:val="24"/>
                <w:lang w:eastAsia="zh-CN"/>
              </w:rPr>
              <w:t>磋商</w:t>
            </w:r>
            <w:r>
              <w:rPr>
                <w:rFonts w:ascii="宋体" w:hAnsi="宋体" w:eastAsia="宋体" w:cs="宋体"/>
                <w:sz w:val="24"/>
                <w:szCs w:val="24"/>
              </w:rPr>
              <w:t>文件的解释权归采购人。</w:t>
            </w:r>
          </w:p>
        </w:tc>
      </w:tr>
    </w:tbl>
    <w:p>
      <w:pPr>
        <w:rPr>
          <w:rFonts w:ascii="宋体" w:hAnsi="宋体" w:cs="宋体"/>
          <w:szCs w:val="24"/>
        </w:rPr>
      </w:pPr>
    </w:p>
    <w:p>
      <w:pPr>
        <w:pStyle w:val="4"/>
        <w:spacing w:before="20" w:after="20"/>
        <w:ind w:firstLine="241" w:firstLineChars="100"/>
        <w:jc w:val="center"/>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4"/>
        <w:spacing w:before="120" w:beforeLines="50" w:after="120" w:afterLines="50" w:line="520" w:lineRule="exact"/>
        <w:jc w:val="center"/>
        <w:rPr>
          <w:rFonts w:ascii="宋体" w:hAnsi="宋体" w:eastAsia="宋体" w:cs="宋体"/>
          <w:sz w:val="24"/>
          <w:szCs w:val="24"/>
        </w:rPr>
      </w:pPr>
      <w:bookmarkStart w:id="59" w:name="_Toc14333"/>
      <w:r>
        <w:rPr>
          <w:rFonts w:hint="eastAsia" w:ascii="宋体" w:hAnsi="宋体" w:eastAsia="宋体" w:cs="宋体"/>
          <w:sz w:val="24"/>
          <w:szCs w:val="24"/>
        </w:rPr>
        <w:t>（二）供应商资格</w:t>
      </w:r>
      <w:bookmarkEnd w:id="59"/>
    </w:p>
    <w:bookmarkEnd w:id="56"/>
    <w:p>
      <w:pPr>
        <w:pStyle w:val="34"/>
        <w:spacing w:line="520" w:lineRule="exact"/>
        <w:ind w:firstLine="480" w:firstLineChars="200"/>
      </w:pPr>
      <w:bookmarkStart w:id="60" w:name="_Toc216158625"/>
      <w:bookmarkStart w:id="61" w:name="_Toc438648662"/>
      <w:bookmarkStart w:id="62" w:name="_Toc363199266"/>
      <w:r>
        <w:rPr>
          <w:rFonts w:hint="eastAsia"/>
        </w:rPr>
        <w:t>见本项目采购公告</w:t>
      </w:r>
    </w:p>
    <w:p>
      <w:pPr>
        <w:pStyle w:val="4"/>
        <w:spacing w:before="120" w:beforeLines="50" w:after="120" w:afterLines="50" w:line="520" w:lineRule="exact"/>
        <w:jc w:val="center"/>
        <w:rPr>
          <w:rFonts w:ascii="宋体" w:hAnsi="宋体" w:eastAsia="宋体" w:cs="宋体"/>
          <w:sz w:val="24"/>
          <w:szCs w:val="24"/>
        </w:rPr>
      </w:pPr>
      <w:bookmarkStart w:id="63" w:name="_Toc9435"/>
      <w:r>
        <w:rPr>
          <w:rFonts w:hint="eastAsia" w:ascii="宋体" w:hAnsi="宋体" w:eastAsia="宋体" w:cs="宋体"/>
          <w:sz w:val="24"/>
          <w:szCs w:val="24"/>
        </w:rPr>
        <w:t>（三）供应商必须提交的响应文件内容</w:t>
      </w:r>
      <w:bookmarkEnd w:id="60"/>
      <w:bookmarkEnd w:id="61"/>
      <w:bookmarkEnd w:id="62"/>
      <w:bookmarkEnd w:id="63"/>
    </w:p>
    <w:p>
      <w:pPr>
        <w:spacing w:line="520" w:lineRule="exact"/>
        <w:ind w:firstLine="480" w:firstLineChars="200"/>
        <w:jc w:val="left"/>
        <w:rPr>
          <w:rFonts w:ascii="宋体" w:hAnsi="宋体"/>
          <w:sz w:val="24"/>
          <w:szCs w:val="24"/>
        </w:rPr>
      </w:pPr>
      <w:r>
        <w:rPr>
          <w:rFonts w:hint="eastAsia" w:ascii="宋体" w:hAnsi="宋体"/>
          <w:sz w:val="24"/>
          <w:szCs w:val="24"/>
        </w:rPr>
        <w:t>1、报价单；</w:t>
      </w:r>
    </w:p>
    <w:p>
      <w:pPr>
        <w:spacing w:line="52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520" w:lineRule="exact"/>
        <w:ind w:firstLine="480" w:firstLineChars="200"/>
        <w:jc w:val="left"/>
        <w:rPr>
          <w:rFonts w:ascii="宋体" w:hAnsi="宋体"/>
          <w:sz w:val="24"/>
          <w:szCs w:val="24"/>
        </w:rPr>
      </w:pPr>
      <w:r>
        <w:rPr>
          <w:rFonts w:hint="eastAsia" w:ascii="宋体" w:hAnsi="宋体"/>
          <w:sz w:val="24"/>
          <w:szCs w:val="24"/>
        </w:rPr>
        <w:t>3、磋商授权书；</w:t>
      </w:r>
    </w:p>
    <w:p>
      <w:pPr>
        <w:spacing w:line="520" w:lineRule="exact"/>
        <w:ind w:firstLine="480" w:firstLineChars="200"/>
        <w:jc w:val="left"/>
        <w:rPr>
          <w:rFonts w:ascii="宋体" w:hAnsi="宋体"/>
          <w:sz w:val="24"/>
          <w:szCs w:val="24"/>
        </w:rPr>
      </w:pPr>
      <w:r>
        <w:rPr>
          <w:rFonts w:hint="eastAsia" w:ascii="宋体" w:hAnsi="宋体"/>
          <w:sz w:val="24"/>
          <w:szCs w:val="24"/>
        </w:rPr>
        <w:t>4、磋商响应函；</w:t>
      </w:r>
    </w:p>
    <w:p>
      <w:pPr>
        <w:spacing w:line="52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520" w:lineRule="exact"/>
        <w:ind w:firstLine="480" w:firstLineChars="200"/>
        <w:jc w:val="left"/>
        <w:rPr>
          <w:rFonts w:ascii="宋体" w:hAnsi="宋体"/>
          <w:sz w:val="24"/>
          <w:szCs w:val="24"/>
        </w:rPr>
      </w:pPr>
      <w:r>
        <w:rPr>
          <w:rFonts w:hint="eastAsia" w:ascii="宋体" w:hAnsi="宋体"/>
          <w:sz w:val="24"/>
          <w:szCs w:val="24"/>
        </w:rPr>
        <w:t>6、响应情况表；</w:t>
      </w:r>
    </w:p>
    <w:p>
      <w:pPr>
        <w:spacing w:line="520" w:lineRule="exact"/>
        <w:ind w:firstLine="480" w:firstLineChars="200"/>
        <w:jc w:val="left"/>
        <w:rPr>
          <w:rFonts w:ascii="宋体" w:hAnsi="宋体"/>
          <w:sz w:val="24"/>
          <w:szCs w:val="24"/>
        </w:rPr>
      </w:pPr>
      <w:r>
        <w:rPr>
          <w:rFonts w:hint="eastAsia" w:ascii="宋体" w:hAnsi="宋体"/>
          <w:sz w:val="24"/>
          <w:szCs w:val="24"/>
        </w:rPr>
        <w:t>7、相关服务承诺函；</w:t>
      </w:r>
    </w:p>
    <w:p>
      <w:pPr>
        <w:spacing w:line="520" w:lineRule="exact"/>
        <w:ind w:firstLine="480" w:firstLineChars="200"/>
        <w:jc w:val="left"/>
        <w:rPr>
          <w:rFonts w:hint="eastAsia" w:ascii="宋体" w:hAnsi="宋体"/>
          <w:sz w:val="24"/>
          <w:szCs w:val="24"/>
          <w:lang w:eastAsia="zh-CN"/>
        </w:rPr>
      </w:pPr>
      <w:r>
        <w:rPr>
          <w:rFonts w:hint="eastAsia" w:ascii="宋体" w:hAnsi="宋体"/>
          <w:sz w:val="24"/>
          <w:szCs w:val="24"/>
          <w:lang w:val="en-US" w:eastAsia="zh-CN"/>
        </w:rPr>
        <w:t>8</w:t>
      </w:r>
      <w:r>
        <w:rPr>
          <w:rFonts w:hint="eastAsia" w:ascii="宋体" w:hAnsi="宋体"/>
          <w:sz w:val="24"/>
          <w:szCs w:val="24"/>
        </w:rPr>
        <w:t>、磋商文件要求和供应商认为需要提供的其它说明和资料</w:t>
      </w:r>
      <w:r>
        <w:rPr>
          <w:rFonts w:hint="eastAsia" w:ascii="宋体" w:hAnsi="宋体"/>
          <w:sz w:val="24"/>
          <w:szCs w:val="24"/>
          <w:lang w:eastAsia="zh-CN"/>
        </w:rPr>
        <w:t>；</w:t>
      </w:r>
    </w:p>
    <w:p>
      <w:pPr>
        <w:spacing w:line="520" w:lineRule="exact"/>
        <w:ind w:firstLine="480" w:firstLineChars="200"/>
        <w:jc w:val="left"/>
        <w:rPr>
          <w:rFonts w:ascii="宋体" w:hAnsi="宋体" w:cs="宋体"/>
          <w:sz w:val="24"/>
          <w:szCs w:val="24"/>
        </w:rPr>
      </w:pPr>
      <w:r>
        <w:rPr>
          <w:rFonts w:hint="eastAsia" w:ascii="宋体" w:hAnsi="宋体"/>
          <w:sz w:val="24"/>
          <w:szCs w:val="24"/>
          <w:lang w:val="en-US" w:eastAsia="zh-CN"/>
        </w:rPr>
        <w:t>9、最终报价单</w:t>
      </w:r>
      <w:r>
        <w:rPr>
          <w:rFonts w:hint="eastAsia" w:ascii="宋体" w:hAnsi="宋体"/>
          <w:sz w:val="24"/>
          <w:szCs w:val="24"/>
        </w:rPr>
        <w:t xml:space="preserve">。 </w:t>
      </w:r>
    </w:p>
    <w:p>
      <w:pPr>
        <w:pStyle w:val="4"/>
        <w:spacing w:before="120" w:beforeLines="50" w:after="120" w:afterLines="50" w:line="520" w:lineRule="exact"/>
        <w:jc w:val="center"/>
        <w:rPr>
          <w:rFonts w:ascii="宋体" w:hAnsi="宋体" w:eastAsia="宋体" w:cs="宋体"/>
          <w:sz w:val="24"/>
          <w:szCs w:val="24"/>
        </w:rPr>
      </w:pPr>
      <w:bookmarkStart w:id="64" w:name="_Toc9883"/>
      <w:r>
        <w:rPr>
          <w:rFonts w:hint="eastAsia" w:ascii="宋体" w:hAnsi="宋体" w:eastAsia="宋体" w:cs="宋体"/>
          <w:sz w:val="24"/>
          <w:szCs w:val="24"/>
        </w:rPr>
        <w:t>（四）响应文件的提交</w:t>
      </w:r>
      <w:bookmarkEnd w:id="64"/>
    </w:p>
    <w:p>
      <w:pPr>
        <w:spacing w:line="430" w:lineRule="exact"/>
        <w:ind w:firstLine="480" w:firstLineChars="200"/>
        <w:rPr>
          <w:rFonts w:ascii="宋体" w:hAnsi="宋体"/>
          <w:sz w:val="24"/>
          <w:szCs w:val="24"/>
        </w:rPr>
      </w:pPr>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pStyle w:val="4"/>
        <w:spacing w:before="0" w:after="0" w:line="520" w:lineRule="exact"/>
        <w:ind w:firstLine="482" w:firstLineChars="200"/>
        <w:rPr>
          <w:rFonts w:ascii="宋体" w:hAnsi="宋体" w:eastAsia="宋体" w:cs="宋体"/>
          <w:sz w:val="24"/>
          <w:szCs w:val="24"/>
        </w:rPr>
      </w:pPr>
      <w:r>
        <w:rPr>
          <w:rFonts w:hint="eastAsia" w:ascii="宋体" w:hAnsi="宋体" w:eastAsia="宋体" w:cs="Times New Roman"/>
          <w:sz w:val="24"/>
          <w:szCs w:val="24"/>
        </w:rPr>
        <w:t>3.3提交响应文件截止时间后不得修改响应文件。但属于</w:t>
      </w:r>
      <w:r>
        <w:rPr>
          <w:rFonts w:hint="eastAsia" w:ascii="宋体" w:hAnsi="宋体" w:eastAsia="宋体" w:cs="Times New Roman"/>
          <w:sz w:val="24"/>
          <w:szCs w:val="24"/>
          <w:lang w:eastAsia="zh-CN"/>
        </w:rPr>
        <w:t>磋商</w:t>
      </w:r>
      <w:r>
        <w:rPr>
          <w:rFonts w:hint="eastAsia" w:ascii="宋体" w:hAnsi="宋体" w:eastAsia="宋体" w:cs="Times New Roman"/>
          <w:sz w:val="24"/>
          <w:szCs w:val="24"/>
        </w:rPr>
        <w:t>小组在评审中发现的计算错误并进行核实的修改、按照</w:t>
      </w:r>
      <w:r>
        <w:rPr>
          <w:rFonts w:hint="eastAsia" w:ascii="宋体" w:hAnsi="宋体" w:eastAsia="宋体" w:cs="Times New Roman"/>
          <w:sz w:val="24"/>
          <w:szCs w:val="24"/>
          <w:lang w:eastAsia="zh-CN"/>
        </w:rPr>
        <w:t>磋商</w:t>
      </w:r>
      <w:r>
        <w:rPr>
          <w:rFonts w:hint="eastAsia" w:ascii="宋体" w:hAnsi="宋体" w:eastAsia="宋体" w:cs="Times New Roman"/>
          <w:sz w:val="24"/>
          <w:szCs w:val="24"/>
        </w:rPr>
        <w:t>文件的变动情况和</w:t>
      </w:r>
      <w:r>
        <w:rPr>
          <w:rFonts w:hint="eastAsia" w:ascii="宋体" w:hAnsi="宋体" w:eastAsia="宋体" w:cs="Times New Roman"/>
          <w:sz w:val="24"/>
          <w:szCs w:val="24"/>
          <w:lang w:eastAsia="zh-CN"/>
        </w:rPr>
        <w:t>磋商</w:t>
      </w:r>
      <w:r>
        <w:rPr>
          <w:rFonts w:hint="eastAsia" w:ascii="宋体" w:hAnsi="宋体" w:eastAsia="宋体" w:cs="Times New Roman"/>
          <w:sz w:val="24"/>
          <w:szCs w:val="24"/>
        </w:rPr>
        <w:t>小组的要求重新提交响应文件的，不在此列。</w:t>
      </w:r>
    </w:p>
    <w:bookmarkEnd w:id="57"/>
    <w:bookmarkEnd w:id="58"/>
    <w:p>
      <w:pPr>
        <w:pStyle w:val="4"/>
        <w:spacing w:before="120" w:beforeLines="50" w:after="120" w:afterLines="50" w:line="500" w:lineRule="exact"/>
        <w:jc w:val="center"/>
        <w:rPr>
          <w:rFonts w:ascii="宋体" w:hAnsi="宋体" w:eastAsia="宋体" w:cs="宋体"/>
          <w:sz w:val="24"/>
          <w:szCs w:val="24"/>
        </w:rPr>
      </w:pPr>
      <w:bookmarkStart w:id="65" w:name="_Toc32682"/>
      <w:bookmarkStart w:id="66" w:name="_Toc15950"/>
      <w:r>
        <w:rPr>
          <w:rFonts w:hint="eastAsia" w:ascii="宋体" w:hAnsi="宋体" w:eastAsia="宋体" w:cs="宋体"/>
          <w:sz w:val="24"/>
          <w:szCs w:val="24"/>
        </w:rPr>
        <w:t>（五）磋商程序</w:t>
      </w:r>
      <w:bookmarkEnd w:id="65"/>
      <w:bookmarkEnd w:id="66"/>
    </w:p>
    <w:p>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1、磋商人员是按规定组成的三人或三人以上的磋商小组。</w:t>
      </w:r>
    </w:p>
    <w:p>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2、在掌握了供应商的基本情况后，磋商小组将与供应商分别进行磋商。</w:t>
      </w:r>
    </w:p>
    <w:p>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3、磋商是分别单独进行的。供应商不得与其他参与磋商的供应商相互串通；磋商小组也不得将与某一供应商的磋商情况向其他供应商及其关系人透露。</w:t>
      </w:r>
    </w:p>
    <w:p>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4、磋商采用一轮磋商、两轮报价的方式进行。但最终采取多少轮磋商，由磋商小组视情况而定。</w:t>
      </w:r>
    </w:p>
    <w:p>
      <w:pPr>
        <w:tabs>
          <w:tab w:val="left" w:pos="900"/>
        </w:tabs>
        <w:spacing w:line="520" w:lineRule="exact"/>
        <w:ind w:firstLine="480" w:firstLineChars="200"/>
        <w:jc w:val="left"/>
        <w:rPr>
          <w:rFonts w:ascii="宋体" w:hAnsi="宋体" w:cs="宋体"/>
          <w:sz w:val="24"/>
          <w:szCs w:val="24"/>
        </w:rPr>
      </w:pPr>
      <w:bookmarkStart w:id="67" w:name="_Toc6912"/>
      <w:r>
        <w:rPr>
          <w:rFonts w:hint="eastAsia" w:ascii="宋体" w:hAnsi="宋体" w:cs="宋体"/>
          <w:sz w:val="24"/>
          <w:szCs w:val="24"/>
        </w:rPr>
        <w:t>5、磋商结束后，磋商小组将要求所有符合条件的供应商在规定的时间内进行最后的报价。</w:t>
      </w:r>
      <w:bookmarkEnd w:id="67"/>
      <w:r>
        <w:rPr>
          <w:rFonts w:hint="eastAsia" w:ascii="宋体" w:hAnsi="宋体" w:eastAsia="宋体" w:cs="宋体"/>
          <w:sz w:val="24"/>
          <w:szCs w:val="24"/>
        </w:rPr>
        <w:t>供应商应在</w:t>
      </w:r>
      <w:r>
        <w:rPr>
          <w:rFonts w:hint="eastAsia" w:ascii="宋体" w:hAnsi="宋体" w:cs="宋体"/>
          <w:sz w:val="24"/>
          <w:szCs w:val="24"/>
          <w:lang w:eastAsia="zh-CN"/>
        </w:rPr>
        <w:t>磋商</w:t>
      </w:r>
      <w:r>
        <w:rPr>
          <w:rFonts w:hint="eastAsia" w:ascii="宋体" w:hAnsi="宋体" w:eastAsia="宋体" w:cs="宋体"/>
          <w:sz w:val="24"/>
          <w:szCs w:val="24"/>
        </w:rPr>
        <w:t>小组发出二轮报价指令后30分钟内完成报价，若供应商未在</w:t>
      </w:r>
      <w:r>
        <w:rPr>
          <w:rFonts w:hint="eastAsia" w:ascii="宋体" w:hAnsi="宋体" w:cs="宋体"/>
          <w:sz w:val="24"/>
          <w:szCs w:val="24"/>
          <w:lang w:eastAsia="zh-CN"/>
        </w:rPr>
        <w:t>磋商</w:t>
      </w:r>
      <w:r>
        <w:rPr>
          <w:rFonts w:hint="eastAsia" w:ascii="宋体" w:hAnsi="宋体" w:eastAsia="宋体" w:cs="宋体"/>
          <w:sz w:val="24"/>
          <w:szCs w:val="24"/>
        </w:rPr>
        <w:t>小组规定的时间内提交最后的报价，则其前一轮报价即为该供应商最后的报价（后一轮报价不得高于前一轮报价，否则，报价无效）。</w:t>
      </w:r>
    </w:p>
    <w:p>
      <w:pPr>
        <w:tabs>
          <w:tab w:val="left" w:pos="900"/>
        </w:tabs>
        <w:spacing w:line="520" w:lineRule="exact"/>
        <w:ind w:firstLine="480" w:firstLineChars="200"/>
        <w:jc w:val="left"/>
        <w:rPr>
          <w:rFonts w:ascii="宋体" w:hAnsi="宋体" w:cs="宋体"/>
          <w:b/>
          <w:bCs/>
          <w:sz w:val="24"/>
          <w:szCs w:val="24"/>
        </w:rPr>
      </w:pPr>
      <w:r>
        <w:rPr>
          <w:rFonts w:hint="eastAsia" w:ascii="宋体" w:hAnsi="宋体" w:cs="宋体"/>
          <w:sz w:val="24"/>
          <w:szCs w:val="24"/>
        </w:rPr>
        <w:t>6、</w:t>
      </w:r>
      <w:r>
        <w:rPr>
          <w:rFonts w:hint="eastAsia" w:ascii="宋体" w:hAnsi="宋体"/>
          <w:sz w:val="24"/>
          <w:szCs w:val="24"/>
        </w:rPr>
        <w:t>供应商必须在规定的时间内将自己在</w:t>
      </w:r>
      <w:r>
        <w:rPr>
          <w:rFonts w:hint="eastAsia" w:ascii="宋体" w:hAnsi="宋体"/>
          <w:sz w:val="24"/>
          <w:szCs w:val="24"/>
          <w:lang w:eastAsia="zh-CN"/>
        </w:rPr>
        <w:t>磋商</w:t>
      </w:r>
      <w:r>
        <w:rPr>
          <w:rFonts w:hint="eastAsia" w:ascii="宋体" w:hAnsi="宋体"/>
          <w:sz w:val="24"/>
          <w:szCs w:val="24"/>
        </w:rPr>
        <w:t>中作出的澄清、变动以及最终的报价，经法定代表人或被授权代表签字后，提交给</w:t>
      </w:r>
      <w:r>
        <w:rPr>
          <w:rFonts w:hint="eastAsia" w:ascii="宋体" w:hAnsi="宋体"/>
          <w:sz w:val="24"/>
          <w:szCs w:val="24"/>
          <w:lang w:val="en-US" w:eastAsia="zh-CN"/>
        </w:rPr>
        <w:t>磋商</w:t>
      </w:r>
      <w:r>
        <w:rPr>
          <w:rFonts w:hint="eastAsia" w:ascii="宋体" w:hAnsi="宋体"/>
          <w:sz w:val="24"/>
          <w:szCs w:val="24"/>
        </w:rPr>
        <w:t>小组。</w:t>
      </w:r>
    </w:p>
    <w:p>
      <w:pPr>
        <w:pStyle w:val="4"/>
        <w:spacing w:before="120" w:beforeLines="50" w:after="120" w:afterLines="50" w:line="520" w:lineRule="exact"/>
        <w:jc w:val="center"/>
        <w:rPr>
          <w:rFonts w:ascii="宋体" w:hAnsi="宋体" w:eastAsia="宋体" w:cs="宋体"/>
          <w:sz w:val="24"/>
          <w:szCs w:val="24"/>
        </w:rPr>
      </w:pPr>
      <w:bookmarkStart w:id="68" w:name="_Toc11542"/>
      <w:bookmarkStart w:id="69" w:name="_Toc7501"/>
      <w:r>
        <w:rPr>
          <w:rFonts w:hint="eastAsia" w:ascii="宋体" w:hAnsi="宋体" w:eastAsia="宋体" w:cs="宋体"/>
          <w:sz w:val="24"/>
          <w:szCs w:val="24"/>
        </w:rPr>
        <w:t>（六）评审及异常情况处理</w:t>
      </w:r>
      <w:bookmarkEnd w:id="68"/>
      <w:bookmarkEnd w:id="69"/>
    </w:p>
    <w:p>
      <w:pPr>
        <w:spacing w:line="520" w:lineRule="exact"/>
        <w:ind w:firstLine="480" w:firstLineChars="200"/>
        <w:rPr>
          <w:rFonts w:ascii="宋体" w:hAnsi="宋体" w:cs="宋体"/>
          <w:sz w:val="24"/>
          <w:szCs w:val="24"/>
        </w:rPr>
      </w:pPr>
      <w:r>
        <w:rPr>
          <w:rFonts w:hint="eastAsia" w:ascii="宋体" w:hAnsi="宋体" w:cs="宋体"/>
          <w:sz w:val="24"/>
          <w:szCs w:val="24"/>
        </w:rPr>
        <w:t>1、磋商小组将遵循公平、公正的原则，对供应商最终提交的确认价进行综合评审，根据得分由高到低顺序推荐不少于3名成交候选供应商。</w:t>
      </w:r>
    </w:p>
    <w:p>
      <w:pPr>
        <w:spacing w:line="520" w:lineRule="exact"/>
        <w:ind w:firstLine="480" w:firstLineChars="200"/>
        <w:rPr>
          <w:rFonts w:ascii="宋体" w:hAnsi="宋体" w:cs="宋体"/>
          <w:sz w:val="24"/>
          <w:szCs w:val="24"/>
        </w:rPr>
      </w:pPr>
      <w:r>
        <w:rPr>
          <w:rFonts w:hint="eastAsia" w:ascii="宋体" w:hAnsi="宋体" w:cs="宋体"/>
          <w:sz w:val="24"/>
          <w:szCs w:val="24"/>
        </w:rPr>
        <w:t>2、磋商时出现以下情况之一的，将予以废标：</w:t>
      </w:r>
    </w:p>
    <w:p>
      <w:pPr>
        <w:spacing w:line="520" w:lineRule="exact"/>
        <w:ind w:firstLine="480" w:firstLineChars="200"/>
        <w:rPr>
          <w:rFonts w:ascii="宋体" w:hAnsi="宋体" w:cs="宋体"/>
          <w:sz w:val="24"/>
          <w:szCs w:val="24"/>
        </w:rPr>
      </w:pPr>
      <w:r>
        <w:rPr>
          <w:rFonts w:hint="eastAsia" w:ascii="宋体" w:hAnsi="宋体" w:cs="宋体"/>
          <w:sz w:val="24"/>
          <w:szCs w:val="24"/>
        </w:rPr>
        <w:t>（1）符合专业条件的供应商或者对采购文件作实质性响应的供应商不足三家的（若采购项目是政府购买服务项目只有2家的，竞争性磋商活动可以继续进行）；</w:t>
      </w:r>
    </w:p>
    <w:p>
      <w:pPr>
        <w:spacing w:line="520" w:lineRule="exact"/>
        <w:ind w:firstLine="480" w:firstLineChars="200"/>
        <w:rPr>
          <w:rFonts w:ascii="宋体" w:hAnsi="宋体" w:cs="宋体"/>
          <w:sz w:val="24"/>
          <w:szCs w:val="24"/>
        </w:rPr>
      </w:pPr>
      <w:r>
        <w:rPr>
          <w:rFonts w:hint="eastAsia" w:ascii="宋体" w:hAnsi="宋体" w:cs="宋体"/>
          <w:sz w:val="24"/>
          <w:szCs w:val="24"/>
        </w:rPr>
        <w:t>（2）供应商的报价均超过了采购预算，经过多轮磋商仍不能降到预算内、且采购人不能支付的；</w:t>
      </w:r>
    </w:p>
    <w:p>
      <w:pPr>
        <w:spacing w:line="520" w:lineRule="exact"/>
        <w:ind w:firstLine="480" w:firstLineChars="200"/>
        <w:rPr>
          <w:rFonts w:ascii="宋体" w:hAnsi="宋体" w:cs="宋体"/>
          <w:sz w:val="24"/>
          <w:szCs w:val="24"/>
        </w:rPr>
      </w:pPr>
      <w:r>
        <w:rPr>
          <w:rFonts w:hint="eastAsia" w:ascii="宋体" w:hAnsi="宋体" w:cs="宋体"/>
          <w:sz w:val="24"/>
          <w:szCs w:val="24"/>
        </w:rPr>
        <w:t>（3）经过磋商，供应商所提供的服务仍无法满足磋商文件实质性要求、影响工作的；</w:t>
      </w:r>
    </w:p>
    <w:p>
      <w:pPr>
        <w:spacing w:line="520" w:lineRule="exact"/>
        <w:ind w:firstLine="480" w:firstLineChars="200"/>
        <w:rPr>
          <w:rFonts w:ascii="宋体" w:hAnsi="宋体" w:cs="宋体"/>
          <w:sz w:val="24"/>
          <w:szCs w:val="24"/>
        </w:rPr>
      </w:pPr>
      <w:r>
        <w:rPr>
          <w:rFonts w:hint="eastAsia" w:ascii="宋体" w:hAnsi="宋体" w:cs="宋体"/>
          <w:sz w:val="24"/>
          <w:szCs w:val="24"/>
        </w:rPr>
        <w:t>（4）出现影响采购公正的违法、违规行为的；</w:t>
      </w:r>
    </w:p>
    <w:p>
      <w:pPr>
        <w:spacing w:line="520" w:lineRule="exact"/>
        <w:ind w:firstLine="480" w:firstLineChars="200"/>
        <w:rPr>
          <w:rFonts w:ascii="宋体" w:hAnsi="宋体" w:cs="宋体"/>
          <w:sz w:val="24"/>
          <w:szCs w:val="24"/>
        </w:rPr>
      </w:pPr>
      <w:r>
        <w:rPr>
          <w:rFonts w:hint="eastAsia" w:ascii="宋体" w:hAnsi="宋体" w:cs="宋体"/>
          <w:sz w:val="24"/>
          <w:szCs w:val="24"/>
        </w:rPr>
        <w:t>（5）因重大变故，采购任务取消的。</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3、重新组织磋商，采购单位将通过</w:t>
      </w:r>
      <w:r>
        <w:rPr>
          <w:rFonts w:hint="eastAsia" w:ascii="宋体" w:hAnsi="宋体" w:cs="宋体"/>
          <w:sz w:val="24"/>
          <w:szCs w:val="24"/>
          <w:lang w:eastAsia="zh-CN"/>
        </w:rPr>
        <w:t>霍山永达工程咨询有限公司网站</w:t>
      </w:r>
      <w:r>
        <w:rPr>
          <w:rFonts w:hint="eastAsia" w:ascii="宋体" w:hAnsi="宋体" w:cs="宋体"/>
          <w:sz w:val="24"/>
          <w:szCs w:val="24"/>
        </w:rPr>
        <w:t>及安徽省政府采购网进行公告。</w:t>
      </w:r>
    </w:p>
    <w:p>
      <w:pPr>
        <w:pStyle w:val="4"/>
        <w:spacing w:before="120" w:beforeLines="50" w:after="120" w:afterLines="50" w:line="520" w:lineRule="exact"/>
        <w:jc w:val="center"/>
        <w:rPr>
          <w:rFonts w:ascii="宋体" w:hAnsi="宋体" w:eastAsia="宋体" w:cs="宋体"/>
          <w:sz w:val="24"/>
          <w:szCs w:val="24"/>
        </w:rPr>
      </w:pPr>
      <w:bookmarkStart w:id="70" w:name="_Toc30632"/>
      <w:r>
        <w:rPr>
          <w:rFonts w:hint="eastAsia" w:ascii="宋体" w:hAnsi="宋体" w:eastAsia="宋体" w:cs="宋体"/>
          <w:sz w:val="24"/>
          <w:szCs w:val="24"/>
        </w:rPr>
        <w:t>（七）报价响应及答疑</w:t>
      </w:r>
      <w:bookmarkEnd w:id="70"/>
    </w:p>
    <w:p>
      <w:pPr>
        <w:spacing w:line="520" w:lineRule="exact"/>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pPr>
        <w:spacing w:line="520" w:lineRule="exact"/>
        <w:ind w:firstLine="480" w:firstLineChars="200"/>
        <w:rPr>
          <w:rFonts w:ascii="宋体" w:hAnsi="宋体"/>
          <w:sz w:val="24"/>
          <w:szCs w:val="24"/>
        </w:rPr>
      </w:pPr>
      <w:r>
        <w:rPr>
          <w:rFonts w:hint="eastAsia" w:ascii="宋体" w:hAnsi="宋体"/>
          <w:sz w:val="24"/>
          <w:szCs w:val="24"/>
        </w:rPr>
        <w:t>2、磋商文件中没有提及磋商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磋商文件规定的规格、参数、质量、价格、有效期、售后服务等要求。</w:t>
      </w:r>
    </w:p>
    <w:p>
      <w:pPr>
        <w:spacing w:line="520" w:lineRule="exact"/>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spacing w:line="520" w:lineRule="exact"/>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pStyle w:val="4"/>
        <w:spacing w:before="120" w:beforeLines="50" w:after="120" w:afterLines="50" w:line="520" w:lineRule="exact"/>
        <w:jc w:val="center"/>
        <w:rPr>
          <w:rFonts w:ascii="宋体" w:hAnsi="宋体" w:eastAsia="宋体" w:cs="宋体"/>
          <w:sz w:val="24"/>
          <w:szCs w:val="24"/>
        </w:rPr>
      </w:pPr>
      <w:bookmarkStart w:id="71" w:name="_Toc19999"/>
      <w:r>
        <w:rPr>
          <w:rFonts w:hint="eastAsia" w:ascii="宋体" w:hAnsi="宋体" w:eastAsia="宋体" w:cs="宋体"/>
          <w:sz w:val="24"/>
          <w:szCs w:val="24"/>
        </w:rPr>
        <w:t>（八）合同的签订</w:t>
      </w:r>
      <w:bookmarkEnd w:id="71"/>
    </w:p>
    <w:p>
      <w:pPr>
        <w:spacing w:line="520" w:lineRule="exact"/>
        <w:ind w:firstLine="480" w:firstLineChars="200"/>
        <w:jc w:val="left"/>
        <w:rPr>
          <w:rFonts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pPr>
        <w:spacing w:line="520" w:lineRule="exact"/>
        <w:ind w:firstLine="480" w:firstLineChars="200"/>
        <w:jc w:val="left"/>
        <w:rPr>
          <w:rFonts w:ascii="宋体" w:hAnsi="宋体" w:cs="Arial"/>
          <w:sz w:val="24"/>
          <w:szCs w:val="24"/>
        </w:rPr>
      </w:pPr>
      <w:r>
        <w:rPr>
          <w:rFonts w:hint="eastAsia" w:ascii="宋体" w:hAnsi="宋体" w:cs="Arial"/>
          <w:sz w:val="24"/>
          <w:szCs w:val="24"/>
        </w:rPr>
        <w:t>2、</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在签订合同时，可以在不改变合同其他条款的前提下变更采购数量，但变更的金额不得超过成交总价的10%。</w:t>
      </w:r>
    </w:p>
    <w:p>
      <w:pPr>
        <w:spacing w:line="520" w:lineRule="exact"/>
        <w:ind w:firstLine="480" w:firstLineChars="200"/>
        <w:jc w:val="left"/>
        <w:rPr>
          <w:rFonts w:ascii="宋体" w:hAnsi="宋体" w:cs="Arial"/>
          <w:sz w:val="24"/>
          <w:szCs w:val="24"/>
        </w:rPr>
      </w:pPr>
      <w:r>
        <w:rPr>
          <w:rFonts w:hint="eastAsia" w:ascii="宋体" w:hAnsi="宋体" w:cs="Arial"/>
          <w:sz w:val="24"/>
          <w:szCs w:val="24"/>
        </w:rPr>
        <w:t>3、</w:t>
      </w:r>
      <w:r>
        <w:rPr>
          <w:rFonts w:ascii="宋体" w:hAnsi="宋体" w:cs="Arial"/>
          <w:sz w:val="24"/>
          <w:szCs w:val="24"/>
        </w:rPr>
        <w:t>成交供应商因不可抗力或者自身原因不能在规定的时间内与采购人签订采购</w:t>
      </w:r>
      <w:r>
        <w:rPr>
          <w:rFonts w:hint="eastAsia" w:ascii="宋体" w:hAnsi="宋体" w:cs="Arial"/>
          <w:sz w:val="24"/>
          <w:szCs w:val="24"/>
        </w:rPr>
        <w:t>合同，采购人可以与排在成交供应商后第一位的候选供应商签订采购合同，以此类推或重新组织采购。</w:t>
      </w:r>
    </w:p>
    <w:p>
      <w:pPr>
        <w:spacing w:line="520" w:lineRule="exact"/>
        <w:ind w:firstLine="480" w:firstLineChars="200"/>
        <w:jc w:val="left"/>
        <w:rPr>
          <w:rFonts w:ascii="宋体" w:hAnsi="宋体" w:cs="Arial"/>
          <w:sz w:val="24"/>
          <w:szCs w:val="24"/>
        </w:rPr>
      </w:pPr>
      <w:r>
        <w:rPr>
          <w:rFonts w:hint="eastAsia" w:ascii="宋体" w:hAnsi="宋体" w:cs="Arial"/>
          <w:sz w:val="24"/>
          <w:szCs w:val="24"/>
        </w:rPr>
        <w:t>4、因政策变化等原因不能签订合同，造成企业合法利益受损的情形，采购人可以与供应商充分协商，给予合理补偿。</w:t>
      </w:r>
    </w:p>
    <w:p>
      <w:pPr>
        <w:spacing w:line="520" w:lineRule="exact"/>
        <w:ind w:firstLine="480" w:firstLineChars="200"/>
        <w:jc w:val="left"/>
        <w:rPr>
          <w:rFonts w:ascii="宋体" w:hAnsi="宋体" w:cs="Arial"/>
          <w:sz w:val="24"/>
          <w:szCs w:val="24"/>
        </w:rPr>
      </w:pPr>
      <w:r>
        <w:rPr>
          <w:rFonts w:hint="eastAsia" w:ascii="宋体" w:hAnsi="宋体" w:cs="Arial"/>
          <w:sz w:val="24"/>
          <w:szCs w:val="24"/>
        </w:rPr>
        <w:t>5、在签订合同时，供应商书面明确表示无需预付款或者主动要求降低预付款比例的，采购人可不适用前述（即付款方式）规定。</w:t>
      </w:r>
    </w:p>
    <w:p>
      <w:pPr>
        <w:spacing w:line="520" w:lineRule="exact"/>
        <w:ind w:firstLine="480" w:firstLineChars="200"/>
        <w:jc w:val="left"/>
        <w:rPr>
          <w:rFonts w:ascii="宋体" w:hAnsi="宋体" w:cs="Arial"/>
          <w:sz w:val="24"/>
          <w:szCs w:val="24"/>
        </w:rPr>
      </w:pPr>
      <w:r>
        <w:rPr>
          <w:rFonts w:hint="eastAsia" w:ascii="宋体" w:hAnsi="宋体" w:cs="Arial"/>
          <w:sz w:val="24"/>
          <w:szCs w:val="24"/>
        </w:rPr>
        <w:t>6、采购文件和合同中没有约定预付款的，经供应商申请，采购人可以支付预付款。</w:t>
      </w:r>
    </w:p>
    <w:p>
      <w:pPr>
        <w:spacing w:line="520" w:lineRule="exact"/>
        <w:ind w:firstLine="480" w:firstLineChars="200"/>
        <w:jc w:val="left"/>
        <w:rPr>
          <w:rFonts w:ascii="宋体" w:hAnsi="宋体" w:cs="Arial"/>
          <w:sz w:val="24"/>
          <w:szCs w:val="24"/>
        </w:rPr>
      </w:pPr>
      <w:r>
        <w:rPr>
          <w:rFonts w:hint="eastAsia" w:ascii="宋体" w:hAnsi="宋体" w:cs="Arial"/>
          <w:sz w:val="24"/>
          <w:szCs w:val="24"/>
        </w:rPr>
        <w:t>7、采购人可根据项目特点、供应商诚信等因素，要求供应商提交银行、保险公司、担保公司等金融机构出具的预付款保函或其他担保措施。</w:t>
      </w:r>
    </w:p>
    <w:p>
      <w:pPr>
        <w:spacing w:line="520" w:lineRule="exact"/>
        <w:ind w:firstLine="480" w:firstLineChars="200"/>
        <w:jc w:val="left"/>
        <w:rPr>
          <w:rFonts w:ascii="宋体" w:hAnsi="宋体" w:cs="Arial"/>
          <w:sz w:val="24"/>
          <w:szCs w:val="24"/>
        </w:rPr>
      </w:pPr>
      <w:r>
        <w:rPr>
          <w:rFonts w:hint="eastAsia" w:ascii="宋体" w:hAnsi="宋体" w:cs="Arial"/>
          <w:sz w:val="24"/>
          <w:szCs w:val="24"/>
        </w:rPr>
        <w:t>8、政府采购预付款应在合同、担保措施生效以及具备实施条件后 5 个工作日内支付。</w:t>
      </w:r>
    </w:p>
    <w:p>
      <w:pPr>
        <w:spacing w:line="520" w:lineRule="exact"/>
        <w:ind w:firstLine="480" w:firstLineChars="200"/>
        <w:jc w:val="left"/>
        <w:rPr>
          <w:rFonts w:ascii="宋体" w:hAnsi="宋体" w:cs="Arial"/>
          <w:sz w:val="24"/>
          <w:szCs w:val="24"/>
        </w:rPr>
      </w:pPr>
      <w:r>
        <w:rPr>
          <w:rFonts w:hint="eastAsia" w:ascii="宋体" w:hAnsi="宋体" w:cs="Arial"/>
          <w:sz w:val="24"/>
          <w:szCs w:val="24"/>
        </w:rPr>
        <w:t>9、延迟支付中小企业款项的，供应商可要求采购人按照合同约定支付逾期利息，合同没有约定的，按照同期人民银行 LPR支付逾期利息。</w:t>
      </w:r>
    </w:p>
    <w:p>
      <w:pPr>
        <w:spacing w:line="520" w:lineRule="exact"/>
        <w:ind w:firstLine="480" w:firstLineChars="200"/>
        <w:jc w:val="left"/>
        <w:rPr>
          <w:rFonts w:ascii="宋体" w:hAnsi="宋体" w:cs="Arial"/>
          <w:sz w:val="24"/>
          <w:szCs w:val="24"/>
        </w:rPr>
      </w:pPr>
      <w:r>
        <w:rPr>
          <w:rFonts w:hint="eastAsia" w:ascii="宋体" w:hAnsi="宋体" w:cs="Arial"/>
          <w:sz w:val="24"/>
          <w:szCs w:val="24"/>
        </w:rPr>
        <w:t>10、成交供应商无正当理由不与采购人订立合同的处罚依据：</w:t>
      </w:r>
    </w:p>
    <w:p>
      <w:pPr>
        <w:spacing w:line="520" w:lineRule="exact"/>
        <w:ind w:firstLine="480" w:firstLineChars="200"/>
        <w:jc w:val="left"/>
        <w:rPr>
          <w:rFonts w:ascii="宋体" w:hAnsi="宋体" w:cs="Arial"/>
          <w:sz w:val="24"/>
          <w:szCs w:val="24"/>
        </w:rPr>
      </w:pPr>
      <w:r>
        <w:rPr>
          <w:rFonts w:hint="eastAsia" w:ascii="宋体" w:hAnsi="宋体" w:cs="Arial"/>
          <w:sz w:val="24"/>
          <w:szCs w:val="24"/>
        </w:rPr>
        <w:t>（1）《中华人民共和国政府采购法实施条例》</w:t>
      </w:r>
    </w:p>
    <w:p>
      <w:pPr>
        <w:pStyle w:val="34"/>
        <w:spacing w:after="0" w:line="520" w:lineRule="exact"/>
        <w:ind w:firstLine="480" w:firstLineChars="200"/>
      </w:pPr>
      <w:r>
        <w:rPr>
          <w:rFonts w:hint="eastAsia"/>
        </w:rPr>
        <w:t>第七十二条 供应商有下列情形之一的，依照政府采购法第七十七条第一款的规定追究法律责任：……</w:t>
      </w:r>
    </w:p>
    <w:p>
      <w:pPr>
        <w:pStyle w:val="34"/>
        <w:spacing w:after="0" w:line="520" w:lineRule="exact"/>
        <w:ind w:firstLine="480" w:firstLineChars="200"/>
      </w:pPr>
      <w:r>
        <w:rPr>
          <w:rFonts w:hint="eastAsia"/>
        </w:rPr>
        <w:t>（二）中标或者成交后无正当理由拒不与采购人签订政府采购合同；……</w:t>
      </w:r>
    </w:p>
    <w:p>
      <w:pPr>
        <w:pStyle w:val="34"/>
        <w:spacing w:after="0" w:line="520" w:lineRule="exact"/>
        <w:ind w:firstLine="480" w:firstLineChars="200"/>
      </w:pPr>
      <w:r>
        <w:rPr>
          <w:rFonts w:hint="eastAsia"/>
        </w:rPr>
        <w:t>（2）《中华人民共和国政府采购法》</w:t>
      </w:r>
    </w:p>
    <w:p>
      <w:pPr>
        <w:pStyle w:val="34"/>
        <w:spacing w:after="0" w:line="52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4"/>
        <w:spacing w:after="0" w:line="520" w:lineRule="exact"/>
        <w:ind w:firstLine="480" w:firstLineChars="200"/>
      </w:pPr>
      <w:r>
        <w:rPr>
          <w:rFonts w:hint="eastAsia"/>
        </w:rPr>
        <w:t>（3）《政府采购非招标采购方式管理办法》（财政部令第74号）</w:t>
      </w:r>
    </w:p>
    <w:p>
      <w:pPr>
        <w:pStyle w:val="34"/>
        <w:spacing w:after="0" w:line="52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pPr>
        <w:pStyle w:val="34"/>
        <w:spacing w:after="0" w:line="520" w:lineRule="exact"/>
        <w:ind w:firstLine="480" w:firstLineChars="200"/>
        <w:rPr>
          <w:rFonts w:ascii="宋体" w:hAnsi="宋体" w:cs="宋体"/>
          <w:szCs w:val="24"/>
        </w:rPr>
      </w:pPr>
      <w:r>
        <w:rPr>
          <w:rFonts w:hint="eastAsia"/>
        </w:rPr>
        <w:t>（二）成交后无正当理由不与采购人签订合同的；……</w:t>
      </w:r>
    </w:p>
    <w:p>
      <w:pPr>
        <w:pStyle w:val="4"/>
        <w:spacing w:before="120" w:beforeLines="50" w:after="120" w:afterLines="50" w:line="520" w:lineRule="exact"/>
        <w:jc w:val="center"/>
        <w:rPr>
          <w:rFonts w:ascii="宋体" w:hAnsi="宋体" w:eastAsia="宋体" w:cs="宋体"/>
          <w:sz w:val="24"/>
          <w:szCs w:val="24"/>
        </w:rPr>
      </w:pPr>
      <w:bookmarkStart w:id="72" w:name="_Toc1832"/>
      <w:r>
        <w:rPr>
          <w:rFonts w:hint="eastAsia" w:ascii="宋体" w:hAnsi="宋体" w:eastAsia="宋体" w:cs="宋体"/>
          <w:sz w:val="24"/>
          <w:szCs w:val="24"/>
        </w:rPr>
        <w:t>（九）澄清及变更</w:t>
      </w:r>
      <w:bookmarkEnd w:id="72"/>
    </w:p>
    <w:p>
      <w:pPr>
        <w:spacing w:line="520" w:lineRule="exact"/>
        <w:ind w:firstLine="480" w:firstLineChars="200"/>
      </w:pPr>
      <w:r>
        <w:rPr>
          <w:rFonts w:hint="eastAsia" w:ascii="宋体" w:hAnsi="宋体"/>
          <w:sz w:val="24"/>
          <w:szCs w:val="24"/>
        </w:rPr>
        <w:t>磋商文件如有澄清及变更，将以网上公告形式发布，请供应商及时关注。</w:t>
      </w:r>
    </w:p>
    <w:p>
      <w:pPr>
        <w:pStyle w:val="4"/>
        <w:spacing w:before="120" w:beforeLines="50" w:after="120" w:afterLines="50" w:line="520" w:lineRule="exact"/>
        <w:jc w:val="center"/>
        <w:rPr>
          <w:rFonts w:ascii="宋体" w:hAnsi="宋体" w:eastAsia="宋体" w:cs="宋体"/>
          <w:sz w:val="24"/>
          <w:szCs w:val="24"/>
        </w:rPr>
      </w:pPr>
      <w:bookmarkStart w:id="73" w:name="_Toc18928"/>
      <w:r>
        <w:rPr>
          <w:rFonts w:hint="eastAsia" w:ascii="宋体" w:hAnsi="宋体" w:eastAsia="宋体" w:cs="宋体"/>
          <w:sz w:val="24"/>
          <w:szCs w:val="24"/>
        </w:rPr>
        <w:t>（十）验收</w:t>
      </w:r>
      <w:bookmarkEnd w:id="73"/>
      <w:r>
        <w:rPr>
          <w:rFonts w:hint="eastAsia" w:ascii="宋体" w:hAnsi="宋体" w:eastAsia="宋体" w:cs="宋体"/>
          <w:sz w:val="24"/>
          <w:szCs w:val="24"/>
        </w:rPr>
        <w:t>与验收</w:t>
      </w:r>
    </w:p>
    <w:p>
      <w:pPr>
        <w:spacing w:line="52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pPr>
        <w:spacing w:line="52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52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34"/>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pPr>
        <w:pStyle w:val="4"/>
        <w:spacing w:before="120" w:beforeLines="50" w:after="120" w:afterLines="50" w:line="520" w:lineRule="exact"/>
        <w:jc w:val="center"/>
        <w:rPr>
          <w:rFonts w:ascii="宋体" w:hAnsi="宋体" w:eastAsia="宋体" w:cs="宋体"/>
          <w:sz w:val="24"/>
          <w:szCs w:val="24"/>
        </w:rPr>
      </w:pPr>
      <w:bookmarkStart w:id="74" w:name="_Toc3680"/>
      <w:r>
        <w:rPr>
          <w:rFonts w:hint="eastAsia" w:ascii="宋体" w:hAnsi="宋体" w:eastAsia="宋体" w:cs="宋体"/>
          <w:sz w:val="24"/>
          <w:szCs w:val="24"/>
        </w:rPr>
        <w:t>（十一）质疑</w:t>
      </w:r>
      <w:bookmarkEnd w:id="74"/>
    </w:p>
    <w:p>
      <w:pPr>
        <w:spacing w:line="520" w:lineRule="exact"/>
        <w:ind w:firstLine="480" w:firstLineChars="200"/>
        <w:rPr>
          <w:rFonts w:ascii="宋体" w:hAnsi="宋体"/>
          <w:bCs/>
          <w:sz w:val="24"/>
        </w:rPr>
      </w:pPr>
      <w:r>
        <w:rPr>
          <w:rFonts w:hint="eastAsia" w:ascii="宋体" w:hAnsi="宋体"/>
          <w:bCs/>
          <w:sz w:val="24"/>
        </w:rPr>
        <w:t>1、质疑人认为磋商结果使自己的权益受到损害的，可以向采购人及采购代理机构提出质疑。质疑实行实名制，应当有具体的事项及根据，不得进行虚假、恶意质疑，扰乱公共资源交易活动的正常工作秩序。</w:t>
      </w:r>
    </w:p>
    <w:p>
      <w:pPr>
        <w:spacing w:line="52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52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pPr>
        <w:spacing w:line="52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widowControl/>
        <w:spacing w:line="520" w:lineRule="exact"/>
        <w:ind w:firstLine="480" w:firstLineChars="200"/>
        <w:jc w:val="left"/>
        <w:rPr>
          <w:rFonts w:ascii="宋体" w:hAnsi="宋体"/>
          <w:bCs/>
          <w:sz w:val="24"/>
        </w:rPr>
      </w:pPr>
      <w:r>
        <w:rPr>
          <w:rFonts w:hint="eastAsia" w:ascii="宋体" w:hAnsi="宋体"/>
          <w:bCs/>
          <w:sz w:val="24"/>
        </w:rPr>
        <w:t>3.1质疑人的名称、地址、有效联系方式；</w:t>
      </w:r>
    </w:p>
    <w:p>
      <w:pPr>
        <w:widowControl/>
        <w:spacing w:line="520" w:lineRule="exact"/>
        <w:ind w:firstLine="480" w:firstLineChars="200"/>
        <w:jc w:val="left"/>
        <w:rPr>
          <w:rFonts w:ascii="宋体" w:hAnsi="宋体"/>
          <w:bCs/>
          <w:sz w:val="24"/>
        </w:rPr>
      </w:pPr>
      <w:r>
        <w:rPr>
          <w:rFonts w:hint="eastAsia" w:ascii="宋体" w:hAnsi="宋体"/>
          <w:bCs/>
          <w:sz w:val="24"/>
        </w:rPr>
        <w:t>3.2项目名称、项目编号、包别号（如有）；</w:t>
      </w:r>
    </w:p>
    <w:p>
      <w:pPr>
        <w:widowControl/>
        <w:spacing w:line="520" w:lineRule="exact"/>
        <w:ind w:firstLine="480" w:firstLineChars="200"/>
        <w:jc w:val="left"/>
        <w:rPr>
          <w:rFonts w:ascii="宋体" w:hAnsi="宋体"/>
          <w:bCs/>
          <w:sz w:val="24"/>
        </w:rPr>
      </w:pPr>
      <w:r>
        <w:rPr>
          <w:rFonts w:hint="eastAsia" w:ascii="宋体" w:hAnsi="宋体"/>
          <w:bCs/>
          <w:sz w:val="24"/>
        </w:rPr>
        <w:t>3.3被质疑人名称；</w:t>
      </w:r>
    </w:p>
    <w:p>
      <w:pPr>
        <w:widowControl/>
        <w:spacing w:line="52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pPr>
        <w:widowControl/>
        <w:spacing w:line="520" w:lineRule="exact"/>
        <w:ind w:firstLine="480" w:firstLineChars="200"/>
        <w:jc w:val="left"/>
        <w:rPr>
          <w:rFonts w:ascii="宋体" w:hAnsi="宋体"/>
          <w:bCs/>
          <w:sz w:val="24"/>
        </w:rPr>
      </w:pPr>
      <w:r>
        <w:rPr>
          <w:rFonts w:hint="eastAsia" w:ascii="宋体" w:hAnsi="宋体"/>
          <w:bCs/>
          <w:sz w:val="24"/>
        </w:rPr>
        <w:t>3.5明确的请求及主张；</w:t>
      </w:r>
    </w:p>
    <w:p>
      <w:pPr>
        <w:widowControl/>
        <w:spacing w:line="520" w:lineRule="exact"/>
        <w:ind w:firstLine="480" w:firstLineChars="200"/>
        <w:jc w:val="left"/>
        <w:rPr>
          <w:rFonts w:ascii="宋体" w:hAnsi="宋体"/>
          <w:bCs/>
          <w:sz w:val="24"/>
        </w:rPr>
      </w:pPr>
      <w:r>
        <w:rPr>
          <w:rFonts w:hint="eastAsia" w:ascii="宋体" w:hAnsi="宋体"/>
          <w:bCs/>
          <w:sz w:val="24"/>
        </w:rPr>
        <w:t>3.6提起质疑的日期。</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pPr>
        <w:spacing w:line="52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pPr>
        <w:widowControl/>
        <w:spacing w:line="52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pPr>
        <w:spacing w:line="52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52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52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质疑人对质疑答复不满意或采购人及采购代理机构未在规定时间内做出答复的，可以在规定期限内向六安市公共资源交易监督管理局提起投诉。</w:t>
      </w:r>
    </w:p>
    <w:p>
      <w:pPr>
        <w:spacing w:line="520" w:lineRule="exact"/>
        <w:ind w:firstLine="480" w:firstLineChars="200"/>
        <w:rPr>
          <w:rFonts w:ascii="宋体" w:hAnsi="宋体"/>
          <w:bCs/>
          <w:sz w:val="24"/>
        </w:rPr>
      </w:pPr>
      <w:r>
        <w:rPr>
          <w:rFonts w:hint="eastAsia" w:ascii="宋体" w:hAnsi="宋体"/>
          <w:bCs/>
          <w:sz w:val="24"/>
        </w:rPr>
        <w:t>质疑人应在答复期满后十五个工作日内提起投诉。</w:t>
      </w:r>
    </w:p>
    <w:p>
      <w:pPr>
        <w:pStyle w:val="3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Cs/>
          <w:kern w:val="2"/>
          <w:sz w:val="24"/>
          <w:szCs w:val="24"/>
          <w:lang w:val="en-US" w:eastAsia="zh-CN" w:bidi="ar-SA"/>
        </w:rPr>
      </w:pPr>
      <w:r>
        <w:rPr>
          <w:rFonts w:hint="eastAsia" w:ascii="宋体" w:hAnsi="宋体"/>
          <w:bCs/>
          <w:sz w:val="24"/>
        </w:rPr>
        <w:t>7、</w:t>
      </w:r>
      <w:bookmarkStart w:id="75" w:name="_Toc216158630"/>
      <w:r>
        <w:rPr>
          <w:rFonts w:hint="eastAsia" w:ascii="宋体" w:hAnsi="宋体" w:eastAsia="宋体" w:cs="Times New Roman"/>
          <w:bCs/>
          <w:kern w:val="2"/>
          <w:sz w:val="24"/>
          <w:szCs w:val="24"/>
          <w:lang w:val="en-US" w:eastAsia="zh-CN" w:bidi="ar-SA"/>
        </w:rPr>
        <w:t>投诉人在全国范围12个月内三次以上投诉查无实据的，由财政部门列入不良行为记录名单。</w:t>
      </w:r>
    </w:p>
    <w:p>
      <w:pPr>
        <w:pStyle w:val="3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投诉人有下列行为之一的，属于虚假、恶意投诉，由财政部门列入不良行为记录名单，禁止其1至3年内参加政府采购活动：</w:t>
      </w:r>
    </w:p>
    <w:p>
      <w:pPr>
        <w:pStyle w:val="3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（一）捏造事实;</w:t>
      </w:r>
    </w:p>
    <w:p>
      <w:pPr>
        <w:pStyle w:val="3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（二）提供虚假材料;</w:t>
      </w:r>
    </w:p>
    <w:p>
      <w:pPr>
        <w:pStyle w:val="3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Cs/>
          <w:sz w:val="24"/>
          <w:szCs w:val="24"/>
        </w:rPr>
      </w:pPr>
      <w:r>
        <w:rPr>
          <w:rFonts w:hint="eastAsia" w:ascii="宋体" w:hAnsi="宋体" w:eastAsia="宋体" w:cs="Times New Roman"/>
          <w:bCs/>
          <w:kern w:val="2"/>
          <w:sz w:val="24"/>
          <w:szCs w:val="24"/>
          <w:lang w:val="en-US" w:eastAsia="zh-CN" w:bidi="ar-SA"/>
        </w:rPr>
        <w:t>（三）以非法手段取得证明材料。证据来源的合法性存在明显疑问，投诉人无法证明其取得方式合法的，视为以非法手段取得证明材料。</w:t>
      </w:r>
    </w:p>
    <w:p>
      <w:pPr>
        <w:spacing w:line="520" w:lineRule="exact"/>
        <w:ind w:firstLine="560" w:firstLineChars="200"/>
        <w:rPr>
          <w:rFonts w:ascii="宋体" w:hAnsi="宋体" w:cs="宋体"/>
          <w:sz w:val="28"/>
          <w:szCs w:val="28"/>
        </w:rPr>
      </w:pPr>
    </w:p>
    <w:p>
      <w:pPr>
        <w:pStyle w:val="4"/>
        <w:spacing w:before="0" w:after="0" w:line="560" w:lineRule="exact"/>
        <w:jc w:val="center"/>
        <w:rPr>
          <w:rFonts w:ascii="宋体" w:hAnsi="宋体" w:eastAsia="宋体" w:cs="宋体"/>
          <w:sz w:val="28"/>
          <w:szCs w:val="28"/>
        </w:rPr>
      </w:pPr>
      <w:bookmarkStart w:id="76" w:name="_Toc22378"/>
    </w:p>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4"/>
        <w:spacing w:before="0" w:after="0" w:line="560" w:lineRule="exact"/>
        <w:jc w:val="center"/>
        <w:rPr>
          <w:rFonts w:ascii="宋体" w:hAnsi="宋体" w:eastAsia="宋体" w:cs="宋体"/>
          <w:sz w:val="28"/>
          <w:szCs w:val="28"/>
        </w:rPr>
      </w:pPr>
      <w:r>
        <w:rPr>
          <w:rFonts w:hint="eastAsia" w:ascii="宋体" w:hAnsi="宋体" w:eastAsia="宋体" w:cs="宋体"/>
          <w:sz w:val="28"/>
          <w:szCs w:val="28"/>
        </w:rPr>
        <w:t>二、采购合同</w:t>
      </w:r>
      <w:bookmarkEnd w:id="76"/>
    </w:p>
    <w:bookmarkEnd w:id="75"/>
    <w:p>
      <w:pPr>
        <w:spacing w:line="253" w:lineRule="auto"/>
      </w:pPr>
      <w:bookmarkStart w:id="77" w:name="_Toc363199273"/>
    </w:p>
    <w:p>
      <w:pPr>
        <w:jc w:val="center"/>
        <w:rPr>
          <w:sz w:val="24"/>
          <w:szCs w:val="24"/>
        </w:rPr>
      </w:pPr>
      <w:r>
        <w:rPr>
          <w:rFonts w:hint="eastAsia"/>
          <w:lang w:eastAsia="zh-CN"/>
        </w:rPr>
        <w:t>（</w:t>
      </w:r>
      <w:r>
        <w:rPr>
          <w:rFonts w:hint="eastAsia"/>
          <w:lang w:val="en-US" w:eastAsia="zh-CN"/>
        </w:rPr>
        <w:t>双方自行拟定，但不得违背磋商文件实质性内容</w:t>
      </w:r>
      <w:r>
        <w:rPr>
          <w:rFonts w:hint="eastAsia"/>
          <w:lang w:eastAsia="zh-CN"/>
        </w:rPr>
        <w:t>）</w:t>
      </w:r>
    </w:p>
    <w:p>
      <w:pPr>
        <w:pStyle w:val="34"/>
        <w:ind w:firstLine="0"/>
      </w:pPr>
    </w:p>
    <w:p>
      <w:pPr>
        <w:pStyle w:val="4"/>
        <w:numPr>
          <w:ilvl w:val="0"/>
          <w:numId w:val="4"/>
        </w:numPr>
        <w:spacing w:before="0" w:after="0" w:line="560" w:lineRule="exact"/>
        <w:jc w:val="center"/>
        <w:rPr>
          <w:rFonts w:ascii="宋体" w:hAnsi="宋体" w:eastAsia="宋体" w:cs="宋体"/>
          <w:sz w:val="28"/>
          <w:szCs w:val="28"/>
        </w:rPr>
      </w:pPr>
      <w:bookmarkStart w:id="78" w:name="_Toc17199"/>
      <w:r>
        <w:rPr>
          <w:rFonts w:hint="eastAsia" w:ascii="宋体" w:hAnsi="宋体" w:eastAsia="宋体" w:cs="宋体"/>
          <w:sz w:val="28"/>
          <w:szCs w:val="28"/>
        </w:rPr>
        <w:t>采购需求</w:t>
      </w:r>
      <w:bookmarkEnd w:id="78"/>
    </w:p>
    <w:p>
      <w:pPr>
        <w:pStyle w:val="56"/>
        <w:spacing w:before="0" w:after="0" w:line="510" w:lineRule="exact"/>
        <w:rPr>
          <w:rFonts w:hint="eastAsia" w:ascii="仿宋" w:hAnsi="仿宋" w:eastAsia="仿宋"/>
          <w:sz w:val="28"/>
          <w:szCs w:val="24"/>
        </w:rPr>
      </w:pPr>
      <w:r>
        <w:rPr>
          <w:rFonts w:hint="eastAsia" w:ascii="仿宋" w:hAnsi="仿宋" w:eastAsia="仿宋"/>
          <w:sz w:val="28"/>
          <w:szCs w:val="24"/>
        </w:rPr>
        <w:t>一、项目概况</w:t>
      </w:r>
    </w:p>
    <w:p>
      <w:pPr>
        <w:pStyle w:val="56"/>
        <w:spacing w:before="0" w:after="0" w:line="510" w:lineRule="exact"/>
        <w:rPr>
          <w:rFonts w:hint="eastAsia" w:ascii="仿宋" w:hAnsi="仿宋" w:eastAsia="仿宋"/>
          <w:sz w:val="28"/>
          <w:szCs w:val="24"/>
        </w:rPr>
      </w:pPr>
      <w:r>
        <w:rPr>
          <w:rFonts w:hint="eastAsia" w:ascii="仿宋" w:hAnsi="仿宋" w:eastAsia="仿宋"/>
          <w:sz w:val="28"/>
          <w:szCs w:val="24"/>
        </w:rPr>
        <w:t>霍山县已建成科技综合治超平台，投入使用非现场执法卡点4处，发挥了较好的科技治超效果，按照原“分期规划、逐步完善”的建设思路,为进一步完善综合科技治超网络，堵塞执法盲点，遵循安徽省联网治超工作要求，建设符合标准的治超动态检测卡点，面向无人值守式动态检测卡点，提供对货物运输车辆的自动称重、抓拍及车牌识别等，规划在与儿街和下符桥设置非现场执法卡点、下符桥增加一固定静态称重地磅，采购无人机及其管理系统，治超监控中心建设，同时在县域内规划建设监控采集点。</w:t>
      </w:r>
    </w:p>
    <w:p>
      <w:pPr>
        <w:pStyle w:val="56"/>
        <w:spacing w:before="0" w:after="0" w:line="510" w:lineRule="exact"/>
        <w:rPr>
          <w:rFonts w:hint="eastAsia" w:ascii="仿宋" w:hAnsi="仿宋" w:eastAsia="仿宋"/>
          <w:sz w:val="28"/>
          <w:szCs w:val="24"/>
        </w:rPr>
      </w:pPr>
      <w:r>
        <w:rPr>
          <w:rFonts w:hint="eastAsia" w:ascii="仿宋" w:hAnsi="仿宋" w:eastAsia="仿宋"/>
          <w:sz w:val="28"/>
          <w:szCs w:val="24"/>
        </w:rPr>
        <w:t>采用科技手段提升超限治理水平，形成以科技治超信息化系统为支撑、治超站点为依托、非现场执法卡点为手段、流动治超为配合，让霍山县逐步构建全方位、多层次、立体化的治超工作格局，进一步提高行业主管部门对治超总体运行状况的掌控能力，提高治超工作的协同能力和监管水平，对辖区内货运车辆进行全方位实时监管、实时告警、联网布控、指挥调度、流动治超切实保障人民群众生命财产安全和公路基础设施完好，优化道路运输市场秩序和经济发展环境。</w:t>
      </w:r>
    </w:p>
    <w:p>
      <w:pPr>
        <w:pStyle w:val="56"/>
        <w:spacing w:before="0" w:after="0" w:line="510" w:lineRule="exact"/>
        <w:rPr>
          <w:rFonts w:hint="eastAsia" w:ascii="仿宋" w:hAnsi="仿宋" w:eastAsia="仿宋"/>
          <w:sz w:val="28"/>
          <w:szCs w:val="24"/>
        </w:rPr>
      </w:pPr>
      <w:r>
        <w:rPr>
          <w:rFonts w:hint="eastAsia" w:ascii="仿宋" w:hAnsi="仿宋" w:eastAsia="仿宋"/>
          <w:sz w:val="28"/>
          <w:szCs w:val="24"/>
        </w:rPr>
        <w:t>二、设计工作内容</w:t>
      </w:r>
    </w:p>
    <w:p>
      <w:pPr>
        <w:pStyle w:val="56"/>
        <w:spacing w:before="0" w:after="0" w:line="510" w:lineRule="exact"/>
        <w:rPr>
          <w:rFonts w:hint="eastAsia" w:ascii="仿宋" w:hAnsi="仿宋" w:eastAsia="仿宋"/>
          <w:sz w:val="28"/>
          <w:szCs w:val="24"/>
        </w:rPr>
      </w:pPr>
      <w:r>
        <w:rPr>
          <w:rFonts w:hint="eastAsia" w:ascii="仿宋" w:hAnsi="仿宋" w:eastAsia="仿宋"/>
          <w:sz w:val="28"/>
          <w:szCs w:val="24"/>
        </w:rPr>
        <w:t>1、现场实地勘测，选择规划合理卡点、采集监控点的位置，调研非现场执法卡点、固定静态称重地磅安装点、路面监控点所在路段的情况，包括车道数量、车道宽度、中央分隔带、两侧绿化带、路面地形以及在施工过程中可能出现的问题等情况，形成调研报告。对</w:t>
      </w:r>
      <w:r>
        <w:rPr>
          <w:rFonts w:hint="eastAsia" w:ascii="仿宋" w:hAnsi="仿宋" w:eastAsia="仿宋"/>
          <w:sz w:val="28"/>
          <w:szCs w:val="24"/>
          <w:lang w:val="en-US" w:eastAsia="zh-CN"/>
        </w:rPr>
        <w:t>治超</w:t>
      </w:r>
      <w:r>
        <w:rPr>
          <w:rFonts w:hint="eastAsia" w:ascii="仿宋" w:hAnsi="仿宋" w:eastAsia="仿宋"/>
          <w:sz w:val="28"/>
          <w:szCs w:val="24"/>
        </w:rPr>
        <w:t>监控中心用房进行测量，合理配置电子大屏、工位布置、会议桌椅等内容。</w:t>
      </w:r>
    </w:p>
    <w:p>
      <w:pPr>
        <w:pStyle w:val="56"/>
        <w:spacing w:before="0" w:after="0" w:line="510" w:lineRule="exact"/>
        <w:rPr>
          <w:rFonts w:hint="eastAsia" w:ascii="仿宋" w:hAnsi="仿宋" w:eastAsia="仿宋"/>
          <w:sz w:val="28"/>
          <w:szCs w:val="24"/>
        </w:rPr>
      </w:pPr>
      <w:r>
        <w:rPr>
          <w:rFonts w:hint="eastAsia" w:ascii="仿宋" w:hAnsi="仿宋" w:eastAsia="仿宋"/>
          <w:sz w:val="28"/>
          <w:szCs w:val="24"/>
        </w:rPr>
        <w:t>2、完成卡点、采集监控点、</w:t>
      </w:r>
      <w:r>
        <w:rPr>
          <w:rFonts w:hint="eastAsia" w:ascii="仿宋" w:hAnsi="仿宋" w:eastAsia="仿宋"/>
          <w:sz w:val="28"/>
          <w:szCs w:val="24"/>
          <w:lang w:val="en-US" w:eastAsia="zh-CN"/>
        </w:rPr>
        <w:t>治超</w:t>
      </w:r>
      <w:r>
        <w:rPr>
          <w:rFonts w:hint="eastAsia" w:ascii="仿宋" w:hAnsi="仿宋" w:eastAsia="仿宋"/>
          <w:sz w:val="28"/>
          <w:szCs w:val="24"/>
        </w:rPr>
        <w:t>监控中心的设计说明、清单配置工作，包括概算（预算）编制工作，协助造价审核工作。</w:t>
      </w:r>
    </w:p>
    <w:p>
      <w:pPr>
        <w:pStyle w:val="56"/>
        <w:spacing w:before="0" w:after="0" w:line="510" w:lineRule="exact"/>
        <w:rPr>
          <w:rFonts w:hint="eastAsia" w:ascii="仿宋" w:hAnsi="仿宋" w:eastAsia="仿宋"/>
          <w:sz w:val="28"/>
          <w:szCs w:val="24"/>
        </w:rPr>
      </w:pPr>
      <w:r>
        <w:rPr>
          <w:rFonts w:hint="eastAsia" w:ascii="仿宋" w:hAnsi="仿宋" w:eastAsia="仿宋"/>
          <w:sz w:val="28"/>
          <w:szCs w:val="24"/>
        </w:rPr>
        <w:t>3、完成卡点、采集监控点、</w:t>
      </w:r>
      <w:r>
        <w:rPr>
          <w:rFonts w:hint="eastAsia" w:ascii="仿宋" w:hAnsi="仿宋" w:eastAsia="仿宋"/>
          <w:sz w:val="28"/>
          <w:szCs w:val="24"/>
          <w:lang w:val="en-US" w:eastAsia="zh-CN"/>
        </w:rPr>
        <w:t>治超</w:t>
      </w:r>
      <w:r>
        <w:rPr>
          <w:rFonts w:hint="eastAsia" w:ascii="仿宋" w:hAnsi="仿宋" w:eastAsia="仿宋"/>
          <w:sz w:val="28"/>
          <w:szCs w:val="24"/>
        </w:rPr>
        <w:t>监控中心、无人机及其管理系统的图纸设计工作，施工图设计不限于卡点设备平面布局图、网络传输拓扑图、称重基础平面图（含动态、静态）、L型杆件结构图、抓拍杆件基础图、LED显示屏安装示意图、单悬臂标志结构图、标识标牌设计图、LED显示屏F杆结构图等。</w:t>
      </w:r>
    </w:p>
    <w:p>
      <w:pPr>
        <w:pStyle w:val="56"/>
        <w:spacing w:before="0" w:after="0" w:line="510" w:lineRule="exact"/>
        <w:rPr>
          <w:rFonts w:hint="eastAsia" w:ascii="仿宋" w:hAnsi="仿宋" w:eastAsia="仿宋"/>
          <w:sz w:val="28"/>
          <w:szCs w:val="24"/>
        </w:rPr>
      </w:pPr>
      <w:r>
        <w:rPr>
          <w:rFonts w:hint="eastAsia" w:ascii="仿宋" w:hAnsi="仿宋" w:eastAsia="仿宋"/>
          <w:sz w:val="28"/>
          <w:szCs w:val="24"/>
        </w:rPr>
        <w:t>4、完成本项目所需的其他工作，包括但不限于设计过程中的沟通汇报、设计评审会等。</w:t>
      </w:r>
    </w:p>
    <w:p>
      <w:pPr>
        <w:pStyle w:val="56"/>
        <w:spacing w:before="0" w:after="0" w:line="510" w:lineRule="exact"/>
        <w:rPr>
          <w:rFonts w:hint="eastAsia" w:ascii="仿宋" w:hAnsi="仿宋" w:eastAsia="仿宋"/>
          <w:sz w:val="28"/>
          <w:szCs w:val="24"/>
        </w:rPr>
      </w:pPr>
      <w:r>
        <w:rPr>
          <w:rFonts w:hint="eastAsia" w:ascii="仿宋" w:hAnsi="仿宋" w:eastAsia="仿宋"/>
          <w:sz w:val="28"/>
          <w:szCs w:val="24"/>
        </w:rPr>
        <w:t>5、在施工及安装工程建设期间，提供咨询及配合施工的咨询及设计服务。</w:t>
      </w:r>
    </w:p>
    <w:p>
      <w:pPr>
        <w:pStyle w:val="56"/>
        <w:spacing w:before="0" w:after="0" w:line="510" w:lineRule="exact"/>
        <w:rPr>
          <w:rFonts w:hint="eastAsia" w:ascii="仿宋" w:hAnsi="仿宋" w:eastAsia="仿宋"/>
          <w:sz w:val="28"/>
          <w:szCs w:val="24"/>
        </w:rPr>
      </w:pPr>
      <w:r>
        <w:rPr>
          <w:rFonts w:hint="eastAsia" w:ascii="仿宋" w:hAnsi="仿宋" w:eastAsia="仿宋"/>
          <w:sz w:val="28"/>
          <w:szCs w:val="24"/>
        </w:rPr>
        <w:t>三、设计工作要求</w:t>
      </w:r>
    </w:p>
    <w:p>
      <w:pPr>
        <w:pStyle w:val="56"/>
        <w:spacing w:before="0" w:after="0" w:line="510" w:lineRule="exact"/>
        <w:rPr>
          <w:rFonts w:hint="eastAsia" w:ascii="仿宋" w:hAnsi="仿宋" w:eastAsia="仿宋"/>
          <w:sz w:val="28"/>
          <w:szCs w:val="24"/>
        </w:rPr>
      </w:pPr>
      <w:r>
        <w:rPr>
          <w:rFonts w:hint="eastAsia" w:ascii="仿宋" w:hAnsi="仿宋" w:eastAsia="仿宋"/>
          <w:sz w:val="28"/>
          <w:szCs w:val="24"/>
        </w:rPr>
        <w:t>1、本次施工图设计项目建设须根据《中华人民共和国公路法》《中华人民共和国道路交通安全法》《超限运输车辆行驶公路管理规定》（交通运输部令2016年第62号）《安徽省治理货物运输车辆超限超载条例》和《安徽省治理货运车辆超限运输非现场执法程序规定（试行）》等法律、法规、规章相关规定以及《安徽省治超站点信息系统工程建设指南（修订）》等为标准进行设计。</w:t>
      </w:r>
    </w:p>
    <w:p>
      <w:pPr>
        <w:pStyle w:val="56"/>
        <w:spacing w:before="0" w:after="0" w:line="510" w:lineRule="exact"/>
        <w:rPr>
          <w:rFonts w:hint="eastAsia" w:ascii="仿宋" w:hAnsi="仿宋" w:eastAsia="仿宋"/>
          <w:sz w:val="28"/>
          <w:szCs w:val="24"/>
        </w:rPr>
      </w:pPr>
      <w:r>
        <w:rPr>
          <w:rFonts w:hint="eastAsia" w:ascii="仿宋" w:hAnsi="仿宋" w:eastAsia="仿宋"/>
          <w:sz w:val="28"/>
          <w:szCs w:val="24"/>
        </w:rPr>
        <w:t>2、根据治超非现场执法工作实际需要，本次规划设计霍山县与儿街和下符桥非现场执法卡、下符桥固定静态称重设备、无人机及其管理系统、</w:t>
      </w:r>
      <w:r>
        <w:rPr>
          <w:rFonts w:hint="eastAsia" w:ascii="仿宋" w:hAnsi="仿宋" w:eastAsia="仿宋"/>
          <w:sz w:val="28"/>
          <w:szCs w:val="24"/>
          <w:lang w:val="en-US" w:eastAsia="zh-CN"/>
        </w:rPr>
        <w:t>治超</w:t>
      </w:r>
      <w:r>
        <w:rPr>
          <w:rFonts w:hint="eastAsia" w:ascii="仿宋" w:hAnsi="仿宋" w:eastAsia="仿宋"/>
          <w:sz w:val="28"/>
          <w:szCs w:val="24"/>
        </w:rPr>
        <w:t>监控中心建设以及路面数据采集监控点工程，具体设计要求以采购人最终意见为准。</w:t>
      </w:r>
    </w:p>
    <w:p>
      <w:pPr>
        <w:pStyle w:val="56"/>
        <w:spacing w:before="0" w:after="0" w:line="510" w:lineRule="exact"/>
        <w:rPr>
          <w:sz w:val="28"/>
          <w:szCs w:val="28"/>
        </w:rPr>
      </w:pPr>
      <w:r>
        <w:rPr>
          <w:rFonts w:hint="eastAsia" w:ascii="仿宋" w:hAnsi="仿宋" w:eastAsia="仿宋"/>
          <w:sz w:val="28"/>
          <w:szCs w:val="24"/>
        </w:rPr>
        <w:t>3、设计方案须保证方案的合理性、可操作性、设备的先进性、可靠性、经济性和适用性以及卡点设置位置的合理性。设备参数选型在满足行业技术规范基础上，根据采购人使用需要做进一步功能提升。</w:t>
      </w:r>
    </w:p>
    <w:p>
      <w:pPr>
        <w:rPr>
          <w:rFonts w:ascii="宋体" w:hAnsi="宋体" w:cs="宋体"/>
          <w:sz w:val="28"/>
          <w:szCs w:val="28"/>
        </w:rPr>
      </w:pPr>
      <w:r>
        <w:rPr>
          <w:rFonts w:hint="eastAsia" w:ascii="宋体" w:hAnsi="宋体" w:cs="宋体"/>
          <w:sz w:val="28"/>
          <w:szCs w:val="28"/>
        </w:rPr>
        <w:br w:type="page"/>
      </w:r>
    </w:p>
    <w:bookmarkEnd w:id="77"/>
    <w:p>
      <w:pPr>
        <w:pStyle w:val="4"/>
        <w:spacing w:before="0" w:after="156" w:afterLines="50" w:line="580" w:lineRule="exact"/>
        <w:jc w:val="center"/>
        <w:rPr>
          <w:rFonts w:ascii="宋体" w:hAnsi="宋体" w:eastAsia="宋体" w:cs="宋体"/>
        </w:rPr>
      </w:pPr>
      <w:bookmarkStart w:id="79" w:name="_Toc21831"/>
      <w:bookmarkStart w:id="80" w:name="_Toc19815"/>
      <w:bookmarkStart w:id="81" w:name="_Toc25911"/>
      <w:r>
        <w:rPr>
          <w:rFonts w:hint="eastAsia" w:ascii="宋体" w:hAnsi="宋体" w:eastAsia="宋体" w:cs="宋体"/>
          <w:sz w:val="28"/>
          <w:szCs w:val="28"/>
        </w:rPr>
        <w:t>四、评分标准</w:t>
      </w:r>
      <w:bookmarkEnd w:id="79"/>
      <w:bookmarkEnd w:id="80"/>
      <w:bookmarkEnd w:id="81"/>
    </w:p>
    <w:p>
      <w:pPr>
        <w:spacing w:line="480" w:lineRule="exact"/>
        <w:jc w:val="left"/>
        <w:rPr>
          <w:rFonts w:ascii="宋体" w:hAnsi="宋体" w:cs="宋体"/>
          <w:sz w:val="24"/>
          <w:szCs w:val="24"/>
        </w:rPr>
      </w:pPr>
      <w:r>
        <w:rPr>
          <w:rFonts w:hint="eastAsia" w:ascii="宋体" w:hAnsi="宋体" w:cs="宋体"/>
          <w:sz w:val="24"/>
          <w:szCs w:val="24"/>
        </w:rPr>
        <w:t>1、本次磋商采用百分制评分法，商务（报价）权重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hint="eastAsia" w:ascii="宋体" w:hAnsi="宋体" w:cs="宋体"/>
          <w:sz w:val="24"/>
          <w:szCs w:val="24"/>
        </w:rPr>
        <w:t>%，经评审满足磋商文件要求且最后报价最低的供应商的价格为磋商基准价，其价格为满分，得</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hint="eastAsia" w:ascii="宋体" w:hAnsi="宋体" w:cs="宋体"/>
          <w:sz w:val="24"/>
          <w:szCs w:val="24"/>
        </w:rPr>
        <w:t>分。其他供应商的价格分统一按照下列公式计算：</w:t>
      </w:r>
    </w:p>
    <w:p>
      <w:pPr>
        <w:spacing w:line="480" w:lineRule="exact"/>
        <w:ind w:firstLine="480" w:firstLineChars="200"/>
        <w:jc w:val="left"/>
        <w:rPr>
          <w:rFonts w:ascii="宋体" w:hAnsi="宋体" w:cs="宋体"/>
          <w:sz w:val="24"/>
          <w:szCs w:val="24"/>
        </w:rPr>
      </w:pPr>
      <w:r>
        <w:rPr>
          <w:rFonts w:hint="eastAsia" w:ascii="宋体" w:hAnsi="宋体" w:cs="宋体"/>
          <w:sz w:val="24"/>
          <w:szCs w:val="24"/>
        </w:rPr>
        <w:t>磋商报价得分=（磋商基准价/最后磋商报价）×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hint="eastAsia" w:ascii="宋体" w:hAnsi="宋体" w:cs="宋体"/>
          <w:sz w:val="24"/>
          <w:szCs w:val="24"/>
        </w:rPr>
        <w:t>%×100。</w:t>
      </w:r>
    </w:p>
    <w:p>
      <w:pPr>
        <w:spacing w:line="480" w:lineRule="exact"/>
        <w:jc w:val="left"/>
        <w:rPr>
          <w:rFonts w:ascii="宋体" w:hAnsi="宋体" w:cs="宋体"/>
          <w:sz w:val="24"/>
          <w:szCs w:val="24"/>
        </w:rPr>
      </w:pPr>
      <w:r>
        <w:rPr>
          <w:rFonts w:hint="eastAsia" w:ascii="宋体" w:hAnsi="宋体" w:cs="宋体"/>
          <w:sz w:val="24"/>
          <w:szCs w:val="24"/>
        </w:rPr>
        <w:t>注：超过最高限价的最后磋商报价为无效报价，按废标处理。</w:t>
      </w:r>
    </w:p>
    <w:p>
      <w:pPr>
        <w:pStyle w:val="13"/>
        <w:spacing w:line="480" w:lineRule="exact"/>
        <w:ind w:firstLine="0"/>
        <w:rPr>
          <w:rFonts w:ascii="宋体" w:hAnsi="宋体" w:eastAsia="宋体" w:cs="宋体"/>
          <w:sz w:val="24"/>
          <w:szCs w:val="24"/>
        </w:rPr>
      </w:pPr>
      <w:r>
        <w:rPr>
          <w:rFonts w:hint="eastAsia" w:ascii="宋体" w:hAnsi="宋体" w:eastAsia="宋体" w:cs="宋体"/>
          <w:sz w:val="24"/>
          <w:szCs w:val="24"/>
        </w:rPr>
        <w:t>具体评分细则如下：</w:t>
      </w:r>
    </w:p>
    <w:tbl>
      <w:tblPr>
        <w:tblStyle w:val="3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3"/>
        <w:gridCol w:w="1074"/>
        <w:gridCol w:w="6369"/>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 w:val="24"/>
                <w:szCs w:val="24"/>
              </w:rPr>
            </w:pPr>
            <w:r>
              <w:rPr>
                <w:rFonts w:hint="eastAsia" w:ascii="宋体" w:hAnsi="宋体" w:cs="宋体"/>
                <w:b/>
                <w:bCs/>
                <w:sz w:val="24"/>
                <w:szCs w:val="24"/>
              </w:rPr>
              <w:t>类别</w:t>
            </w:r>
          </w:p>
        </w:tc>
        <w:tc>
          <w:tcPr>
            <w:tcW w:w="10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 w:val="24"/>
                <w:szCs w:val="24"/>
              </w:rPr>
            </w:pPr>
            <w:r>
              <w:rPr>
                <w:rFonts w:hint="eastAsia" w:ascii="宋体" w:hAnsi="宋体" w:cs="宋体"/>
                <w:b/>
                <w:bCs/>
                <w:sz w:val="24"/>
                <w:szCs w:val="24"/>
              </w:rPr>
              <w:t>评分内容</w:t>
            </w:r>
          </w:p>
        </w:tc>
        <w:tc>
          <w:tcPr>
            <w:tcW w:w="6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 w:val="24"/>
                <w:szCs w:val="24"/>
              </w:rPr>
            </w:pPr>
            <w:r>
              <w:rPr>
                <w:rFonts w:hint="eastAsia" w:ascii="宋体" w:hAnsi="宋体" w:cs="宋体"/>
                <w:b/>
                <w:bCs/>
                <w:sz w:val="24"/>
                <w:szCs w:val="24"/>
              </w:rPr>
              <w:t>评分标准</w:t>
            </w:r>
          </w:p>
        </w:tc>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sz w:val="24"/>
                <w:szCs w:val="24"/>
              </w:rPr>
            </w:pPr>
            <w:r>
              <w:rPr>
                <w:rFonts w:hint="eastAsia" w:ascii="宋体" w:hAnsi="宋体" w:cs="宋体"/>
                <w:b/>
                <w:bCs/>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1183"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技术标分</w:t>
            </w:r>
          </w:p>
          <w:p>
            <w:pPr>
              <w:spacing w:line="4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90</w:t>
            </w:r>
            <w:r>
              <w:rPr>
                <w:rFonts w:hint="eastAsia" w:ascii="宋体" w:hAnsi="宋体" w:cs="宋体"/>
                <w:sz w:val="24"/>
                <w:szCs w:val="24"/>
                <w:u w:val="single"/>
              </w:rPr>
              <w:t xml:space="preserve">  </w:t>
            </w:r>
            <w:r>
              <w:rPr>
                <w:rFonts w:hint="eastAsia" w:ascii="宋体" w:hAnsi="宋体" w:cs="宋体"/>
                <w:sz w:val="24"/>
                <w:szCs w:val="24"/>
              </w:rPr>
              <w:t>分）</w:t>
            </w:r>
          </w:p>
        </w:tc>
        <w:tc>
          <w:tcPr>
            <w:tcW w:w="1074"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工作方案（30分）</w:t>
            </w:r>
          </w:p>
        </w:tc>
        <w:tc>
          <w:tcPr>
            <w:tcW w:w="6369" w:type="dxa"/>
            <w:tcBorders>
              <w:top w:val="single" w:color="auto" w:sz="4" w:space="0"/>
              <w:left w:val="single" w:color="auto" w:sz="4" w:space="0"/>
              <w:right w:val="single" w:color="auto" w:sz="4" w:space="0"/>
            </w:tcBorders>
            <w:vAlign w:val="center"/>
          </w:tcPr>
          <w:p>
            <w:pPr>
              <w:widowControl/>
              <w:adjustRightInd w:val="0"/>
              <w:snapToGrid w:val="0"/>
              <w:spacing w:line="400" w:lineRule="exact"/>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编制工作计划和人员安排：结合本项目编制工作内容及相关要求，编制工作方案中组织实施计划周详可行、人员队伍安排合理实力雄厚，优得10分~7分，良得7分~4分，一般得4分~1分，差得0分。</w:t>
            </w:r>
          </w:p>
        </w:tc>
        <w:tc>
          <w:tcPr>
            <w:tcW w:w="653"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55" w:hRule="atLeast"/>
          <w:jc w:val="center"/>
        </w:trPr>
        <w:tc>
          <w:tcPr>
            <w:tcW w:w="1183" w:type="dxa"/>
            <w:vMerge w:val="continue"/>
            <w:tcBorders>
              <w:left w:val="single" w:color="auto" w:sz="4" w:space="0"/>
              <w:right w:val="single" w:color="auto" w:sz="4" w:space="0"/>
            </w:tcBorders>
            <w:vAlign w:val="center"/>
          </w:tcPr>
          <w:p>
            <w:pPr>
              <w:spacing w:line="400" w:lineRule="exact"/>
              <w:jc w:val="center"/>
              <w:rPr>
                <w:rFonts w:ascii="宋体" w:hAnsi="宋体" w:cs="宋体"/>
                <w:sz w:val="24"/>
                <w:szCs w:val="24"/>
              </w:rPr>
            </w:pPr>
          </w:p>
        </w:tc>
        <w:tc>
          <w:tcPr>
            <w:tcW w:w="1074" w:type="dxa"/>
            <w:vMerge w:val="continue"/>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636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质量和进度保证措施合理性：本项目编制工作方案中对本项目的质量、进度保证措施合理，</w:t>
            </w:r>
            <w:r>
              <w:rPr>
                <w:rFonts w:hint="eastAsia" w:ascii="宋体" w:hAnsi="宋体" w:cs="宋体"/>
                <w:bCs/>
                <w:color w:val="000000"/>
                <w:sz w:val="24"/>
                <w:szCs w:val="24"/>
                <w:lang w:val="en-US" w:eastAsia="zh-CN"/>
              </w:rPr>
              <w:t>优得10分~7分，良得7分~4分，一般得4分~1分，差得0分。</w:t>
            </w:r>
          </w:p>
        </w:tc>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55" w:hRule="atLeast"/>
          <w:jc w:val="center"/>
        </w:trPr>
        <w:tc>
          <w:tcPr>
            <w:tcW w:w="1183" w:type="dxa"/>
            <w:vMerge w:val="continue"/>
            <w:tcBorders>
              <w:left w:val="single" w:color="auto" w:sz="4" w:space="0"/>
              <w:right w:val="single" w:color="auto" w:sz="4" w:space="0"/>
            </w:tcBorders>
            <w:vAlign w:val="center"/>
          </w:tcPr>
          <w:p>
            <w:pPr>
              <w:spacing w:line="400" w:lineRule="exact"/>
              <w:jc w:val="center"/>
              <w:rPr>
                <w:rFonts w:ascii="宋体" w:hAnsi="宋体" w:cs="宋体"/>
                <w:sz w:val="24"/>
                <w:szCs w:val="24"/>
              </w:rPr>
            </w:pPr>
          </w:p>
        </w:tc>
        <w:tc>
          <w:tcPr>
            <w:tcW w:w="1074" w:type="dxa"/>
            <w:vMerge w:val="continue"/>
            <w:tcBorders>
              <w:left w:val="single" w:color="auto" w:sz="4" w:space="0"/>
              <w:right w:val="single" w:color="auto" w:sz="4" w:space="0"/>
            </w:tcBorders>
            <w:vAlign w:val="center"/>
          </w:tcPr>
          <w:p>
            <w:pPr>
              <w:spacing w:line="400" w:lineRule="exact"/>
              <w:jc w:val="center"/>
              <w:rPr>
                <w:rFonts w:ascii="宋体" w:hAnsi="宋体" w:cs="宋体"/>
                <w:color w:val="000000"/>
                <w:sz w:val="24"/>
                <w:szCs w:val="24"/>
              </w:rPr>
            </w:pPr>
          </w:p>
        </w:tc>
        <w:tc>
          <w:tcPr>
            <w:tcW w:w="636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磋商小组根据供应商对本项目的监控管理措施、确保服务周期、后期服务配合、响应及时性做出承诺，</w:t>
            </w:r>
            <w:r>
              <w:rPr>
                <w:rFonts w:hint="eastAsia" w:ascii="宋体" w:hAnsi="宋体" w:cs="宋体"/>
                <w:bCs/>
                <w:color w:val="000000"/>
                <w:sz w:val="24"/>
                <w:szCs w:val="24"/>
                <w:lang w:val="en-US" w:eastAsia="zh-CN"/>
              </w:rPr>
              <w:t>优得10分~7分，良得7分~4分，一般得4分~1分，差得0分。</w:t>
            </w:r>
          </w:p>
        </w:tc>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b/>
                <w:bCs/>
                <w:color w:val="000000"/>
                <w:sz w:val="24"/>
                <w:szCs w:val="24"/>
                <w:lang w:val="en-US" w:eastAsia="zh-CN"/>
              </w:rPr>
            </w:pPr>
            <w:r>
              <w:rPr>
                <w:rFonts w:hint="eastAsia" w:ascii="宋体" w:hAnsi="宋体" w:cs="宋体"/>
                <w:b/>
                <w:bCs/>
                <w:color w:val="000000"/>
                <w:sz w:val="24"/>
                <w:szCs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346" w:hRule="atLeast"/>
          <w:jc w:val="center"/>
        </w:trPr>
        <w:tc>
          <w:tcPr>
            <w:tcW w:w="1183" w:type="dxa"/>
            <w:vMerge w:val="continue"/>
            <w:tcBorders>
              <w:left w:val="single" w:color="auto" w:sz="4" w:space="0"/>
              <w:right w:val="single" w:color="auto" w:sz="4" w:space="0"/>
            </w:tcBorders>
            <w:vAlign w:val="center"/>
          </w:tcPr>
          <w:p>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pPr>
              <w:spacing w:line="400" w:lineRule="exact"/>
              <w:jc w:val="left"/>
              <w:rPr>
                <w:rFonts w:hint="default" w:ascii="Times New Roman" w:hAnsi="Times New Roman" w:eastAsia="宋体" w:cs="Times New Roman"/>
                <w:lang w:val="en-US" w:eastAsia="zh-CN"/>
              </w:rPr>
            </w:pPr>
            <w:r>
              <w:rPr>
                <w:rFonts w:hint="eastAsia" w:ascii="宋体" w:hAnsi="宋体" w:eastAsia="宋体" w:cs="宋体"/>
                <w:color w:val="000000"/>
                <w:sz w:val="24"/>
                <w:szCs w:val="24"/>
                <w:lang w:val="en-US" w:eastAsia="zh-CN"/>
              </w:rPr>
              <w:t>企业资质（</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0分）</w:t>
            </w:r>
          </w:p>
        </w:tc>
        <w:tc>
          <w:tcPr>
            <w:tcW w:w="636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1、供应商具有工程咨询协会颁发的工程咨询单位资信证书（业务范围必须包含信息化专业）甲级得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分，具有乙级证书得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p>
          <w:p>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2、供应商具有电子智能化工程专业承包</w:t>
            </w:r>
            <w:r>
              <w:rPr>
                <w:rFonts w:hint="eastAsia" w:ascii="宋体" w:hAnsi="宋体" w:cs="宋体"/>
                <w:color w:val="000000"/>
                <w:sz w:val="24"/>
                <w:szCs w:val="24"/>
                <w:lang w:val="en-US" w:eastAsia="zh-CN"/>
              </w:rPr>
              <w:t>一</w:t>
            </w:r>
            <w:r>
              <w:rPr>
                <w:rFonts w:hint="eastAsia" w:ascii="宋体" w:hAnsi="宋体" w:eastAsia="宋体" w:cs="宋体"/>
                <w:color w:val="000000"/>
                <w:sz w:val="24"/>
                <w:szCs w:val="24"/>
                <w:lang w:val="en-US" w:eastAsia="zh-CN"/>
              </w:rPr>
              <w:t>级及以上的得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电子智能化工程专业承包</w:t>
            </w:r>
            <w:r>
              <w:rPr>
                <w:rFonts w:hint="eastAsia" w:ascii="宋体" w:hAnsi="宋体" w:cs="宋体"/>
                <w:color w:val="000000"/>
                <w:sz w:val="24"/>
                <w:szCs w:val="24"/>
                <w:lang w:val="en-US" w:eastAsia="zh-CN"/>
              </w:rPr>
              <w:t>二</w:t>
            </w:r>
            <w:r>
              <w:rPr>
                <w:rFonts w:hint="eastAsia" w:ascii="宋体" w:hAnsi="宋体" w:eastAsia="宋体" w:cs="宋体"/>
                <w:color w:val="000000"/>
                <w:sz w:val="24"/>
                <w:szCs w:val="24"/>
                <w:lang w:val="en-US" w:eastAsia="zh-CN"/>
              </w:rPr>
              <w:t>级</w:t>
            </w:r>
            <w:r>
              <w:rPr>
                <w:rFonts w:hint="eastAsia" w:ascii="宋体" w:hAnsi="宋体" w:cs="宋体"/>
                <w:color w:val="000000"/>
                <w:sz w:val="24"/>
                <w:szCs w:val="24"/>
                <w:lang w:val="en-US" w:eastAsia="zh-CN"/>
              </w:rPr>
              <w:t>得4分</w:t>
            </w:r>
            <w:r>
              <w:rPr>
                <w:rFonts w:hint="eastAsia" w:ascii="宋体" w:hAnsi="宋体" w:eastAsia="宋体" w:cs="宋体"/>
                <w:color w:val="000000"/>
                <w:sz w:val="24"/>
                <w:szCs w:val="24"/>
                <w:lang w:val="en-US" w:eastAsia="zh-CN"/>
              </w:rPr>
              <w:t>；</w:t>
            </w:r>
          </w:p>
          <w:p>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3、供应商具有中国通信企业协会颁发的通信网络安全服务安全设计与集成、风险评估一级能力评定证书得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p>
          <w:p>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4、具有有效期内中华人民共和国住房和建设部颁发的电子通信广电行业（有线通信或通信工程）专业甲级工程设计资质证书得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分，乙级得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p>
          <w:p>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5、具有有效期内中华人民共和国住房和城乡建设部颁发的工程勘察综合资质甲级资质证书或工程勘察专业类（工程测量）甲级资质证书得</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分，乙级得</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w:t>
            </w:r>
          </w:p>
          <w:p>
            <w:pPr>
              <w:spacing w:line="400" w:lineRule="exact"/>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注：以上投标文件中提供证书、批复、颁证单位颁证文件、网上公示截图（具有其中之一即可）等证明材料扫描件或影印件。</w:t>
            </w:r>
          </w:p>
          <w:p>
            <w:pPr>
              <w:spacing w:line="400" w:lineRule="exact"/>
              <w:jc w:val="left"/>
              <w:rPr>
                <w:rFonts w:hint="default" w:ascii="Times New Roman" w:hAnsi="Times New Roman" w:eastAsia="宋体" w:cs="Times New Roman"/>
                <w:lang w:val="en-US"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投标人业绩（20分）</w:t>
            </w:r>
          </w:p>
        </w:tc>
        <w:tc>
          <w:tcPr>
            <w:tcW w:w="6369" w:type="dxa"/>
            <w:tcBorders>
              <w:top w:val="single" w:color="auto" w:sz="4" w:space="0"/>
              <w:left w:val="single" w:color="auto" w:sz="4" w:space="0"/>
              <w:bottom w:val="single" w:color="auto" w:sz="4" w:space="0"/>
              <w:right w:val="single" w:color="auto" w:sz="4" w:space="0"/>
            </w:tcBorders>
            <w:vAlign w:val="center"/>
          </w:tcPr>
          <w:p>
            <w:pPr>
              <w:pStyle w:val="9"/>
              <w:spacing w:line="400" w:lineRule="exact"/>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2020年1月1日以来（以合同签订时间为准），供应商在智慧交通、交通管理等相关领域完成过3万元以上的咨询设计业绩，每有一个得4分，本项最高得20分。</w:t>
            </w:r>
          </w:p>
          <w:p>
            <w:pPr>
              <w:pStyle w:val="9"/>
              <w:spacing w:line="400" w:lineRule="exact"/>
              <w:rPr>
                <w:rFonts w:hint="default" w:ascii="宋体" w:hAnsi="宋体" w:cs="宋体"/>
                <w:b/>
                <w:bCs/>
                <w:color w:val="000000"/>
                <w:sz w:val="24"/>
                <w:szCs w:val="24"/>
                <w:lang w:val="en-US" w:eastAsia="zh-CN"/>
              </w:rPr>
            </w:pPr>
            <w:r>
              <w:rPr>
                <w:rFonts w:hint="eastAsia" w:ascii="宋体" w:hAnsi="宋体" w:cs="宋体"/>
                <w:b/>
                <w:bCs/>
                <w:color w:val="000000"/>
                <w:sz w:val="24"/>
                <w:szCs w:val="24"/>
                <w:lang w:val="en-US" w:eastAsia="zh-CN"/>
              </w:rPr>
              <w:t>注：需提供合同复印件或相关证明材料加盖供应商单位公章。</w:t>
            </w:r>
          </w:p>
        </w:tc>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000000"/>
                <w:sz w:val="24"/>
                <w:szCs w:val="24"/>
                <w:lang w:val="en-US" w:eastAsia="zh-CN"/>
              </w:rPr>
            </w:pPr>
            <w:r>
              <w:rPr>
                <w:rFonts w:hint="eastAsia" w:ascii="宋体" w:hAnsi="宋体" w:cs="宋体"/>
                <w:b/>
                <w:bCs/>
                <w:color w:val="000000"/>
                <w:sz w:val="24"/>
                <w:szCs w:val="24"/>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526" w:hRule="atLeast"/>
          <w:jc w:val="center"/>
        </w:trPr>
        <w:tc>
          <w:tcPr>
            <w:tcW w:w="1183" w:type="dxa"/>
            <w:tcBorders>
              <w:left w:val="single" w:color="auto" w:sz="4" w:space="0"/>
              <w:right w:val="single" w:color="auto" w:sz="4" w:space="0"/>
            </w:tcBorders>
            <w:vAlign w:val="center"/>
          </w:tcPr>
          <w:p>
            <w:pPr>
              <w:spacing w:line="400" w:lineRule="exact"/>
              <w:jc w:val="center"/>
              <w:rPr>
                <w:rFonts w:ascii="宋体" w:hAnsi="宋体" w:cs="宋体"/>
                <w:sz w:val="24"/>
                <w:szCs w:val="24"/>
              </w:rPr>
            </w:pPr>
            <w:r>
              <w:rPr>
                <w:rFonts w:hint="eastAsia" w:ascii="宋体" w:hAnsi="宋体" w:cs="宋体"/>
                <w:sz w:val="24"/>
                <w:szCs w:val="24"/>
              </w:rPr>
              <w:t>价格分</w:t>
            </w:r>
          </w:p>
          <w:p>
            <w:pPr>
              <w:spacing w:line="4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hint="eastAsia" w:ascii="宋体" w:hAnsi="宋体" w:cs="宋体"/>
                <w:sz w:val="24"/>
                <w:szCs w:val="24"/>
              </w:rPr>
              <w:t>分）</w:t>
            </w:r>
          </w:p>
        </w:tc>
        <w:tc>
          <w:tcPr>
            <w:tcW w:w="809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bCs/>
                <w:sz w:val="24"/>
                <w:szCs w:val="24"/>
              </w:rPr>
            </w:pPr>
            <w:r>
              <w:rPr>
                <w:rFonts w:hint="eastAsia" w:ascii="宋体" w:hAnsi="宋体" w:cs="宋体"/>
                <w:b/>
                <w:bCs/>
                <w:sz w:val="24"/>
                <w:szCs w:val="24"/>
              </w:rPr>
              <w:t>价格分统一采用低价优先法，即满足磋商文件要求且最终报价最低的价格作为评标基准价，其价格分为满分</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10</w:t>
            </w:r>
            <w:r>
              <w:rPr>
                <w:rFonts w:hint="eastAsia" w:ascii="宋体" w:hAnsi="宋体" w:cs="宋体"/>
                <w:b/>
                <w:bCs/>
                <w:sz w:val="24"/>
                <w:szCs w:val="24"/>
                <w:u w:val="single"/>
              </w:rPr>
              <w:t xml:space="preserve"> </w:t>
            </w:r>
            <w:r>
              <w:rPr>
                <w:rFonts w:hint="eastAsia" w:ascii="宋体" w:hAnsi="宋体" w:cs="宋体"/>
                <w:b/>
                <w:bCs/>
                <w:sz w:val="24"/>
                <w:szCs w:val="24"/>
              </w:rPr>
              <w:t>分。其他磋商供应商的价格分统一按照下列公式计算（四舍五入保留至小数点后两位数）：</w:t>
            </w:r>
          </w:p>
          <w:p>
            <w:pPr>
              <w:spacing w:line="400" w:lineRule="exact"/>
              <w:rPr>
                <w:rFonts w:ascii="宋体" w:hAnsi="宋体" w:cs="宋体"/>
                <w:b/>
                <w:bCs/>
                <w:sz w:val="24"/>
                <w:szCs w:val="24"/>
              </w:rPr>
            </w:pPr>
            <w:r>
              <w:rPr>
                <w:rFonts w:hint="eastAsia" w:ascii="宋体" w:hAnsi="宋体" w:cs="宋体"/>
                <w:b/>
                <w:bCs/>
                <w:sz w:val="24"/>
                <w:szCs w:val="24"/>
              </w:rPr>
              <w:t>磋商报价得分＝（评标基准价/磋商报价）×</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10</w:t>
            </w:r>
            <w:r>
              <w:rPr>
                <w:rFonts w:hint="eastAsia" w:ascii="宋体" w:hAnsi="宋体" w:cs="宋体"/>
                <w:b/>
                <w:bCs/>
                <w:sz w:val="24"/>
                <w:szCs w:val="24"/>
                <w:u w:val="single"/>
              </w:rPr>
              <w:t xml:space="preserve"> </w:t>
            </w:r>
            <w:r>
              <w:rPr>
                <w:rFonts w:hint="eastAsia" w:ascii="宋体" w:hAnsi="宋体" w:cs="宋体"/>
                <w:b/>
                <w:bCs/>
                <w:sz w:val="24"/>
                <w:szCs w:val="24"/>
              </w:rPr>
              <w:t>％×100</w:t>
            </w:r>
          </w:p>
        </w:tc>
      </w:tr>
    </w:tbl>
    <w:p>
      <w:pPr>
        <w:spacing w:line="480" w:lineRule="exact"/>
        <w:ind w:firstLine="480" w:firstLineChars="200"/>
        <w:rPr>
          <w:rFonts w:ascii="宋体" w:hAnsi="宋体" w:cs="宋体"/>
          <w:sz w:val="24"/>
          <w:szCs w:val="24"/>
        </w:rPr>
      </w:pPr>
      <w:r>
        <w:rPr>
          <w:rFonts w:hint="eastAsia" w:ascii="宋体" w:hAnsi="宋体" w:cs="宋体"/>
          <w:sz w:val="24"/>
          <w:szCs w:val="24"/>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pPr>
        <w:pStyle w:val="13"/>
        <w:spacing w:line="480" w:lineRule="exact"/>
        <w:ind w:right="-11" w:firstLine="495"/>
        <w:rPr>
          <w:rFonts w:ascii="宋体" w:hAnsi="宋体" w:eastAsia="宋体" w:cs="宋体"/>
          <w:sz w:val="24"/>
          <w:szCs w:val="24"/>
        </w:rPr>
      </w:pPr>
      <w:r>
        <w:rPr>
          <w:rFonts w:hint="eastAsia" w:ascii="宋体" w:hAnsi="宋体" w:eastAsia="宋体" w:cs="宋体"/>
          <w:sz w:val="24"/>
          <w:szCs w:val="24"/>
        </w:rPr>
        <w:t>3、得分汇总</w:t>
      </w:r>
    </w:p>
    <w:p>
      <w:pPr>
        <w:pStyle w:val="13"/>
        <w:spacing w:line="480" w:lineRule="exact"/>
        <w:ind w:right="-11" w:firstLine="480" w:firstLineChars="200"/>
        <w:rPr>
          <w:rFonts w:ascii="宋体" w:hAnsi="宋体" w:eastAsia="宋体" w:cs="宋体"/>
          <w:sz w:val="24"/>
          <w:szCs w:val="24"/>
        </w:rPr>
      </w:pPr>
      <w:r>
        <w:rPr>
          <w:rFonts w:hint="eastAsia" w:ascii="宋体" w:hAnsi="宋体" w:eastAsia="宋体" w:cs="宋体"/>
          <w:sz w:val="24"/>
          <w:szCs w:val="24"/>
        </w:rPr>
        <w:t>（1）将每个有效磋商供应商的技术标分之和加上根据上述标准计算出的价格分，即为该磋商供应商的综合总得分。</w:t>
      </w:r>
    </w:p>
    <w:p>
      <w:pPr>
        <w:spacing w:line="480" w:lineRule="exact"/>
        <w:ind w:firstLine="480" w:firstLineChars="200"/>
        <w:jc w:val="left"/>
        <w:rPr>
          <w:rFonts w:ascii="宋体" w:hAnsi="宋体" w:cs="宋体"/>
        </w:rPr>
      </w:pPr>
      <w:r>
        <w:rPr>
          <w:rFonts w:hint="eastAsia" w:ascii="宋体" w:hAnsi="宋体" w:cs="宋体"/>
          <w:sz w:val="24"/>
          <w:szCs w:val="24"/>
        </w:rPr>
        <w:t>（2）按照有效磋商供应商综合总得分由高到低依次排出成交供应商及成交候选供应商。</w:t>
      </w:r>
      <w:bookmarkStart w:id="82" w:name="_Toc31228"/>
      <w:r>
        <w:rPr>
          <w:rFonts w:hint="eastAsia" w:ascii="宋体" w:hAnsi="宋体" w:cs="宋体"/>
          <w:sz w:val="24"/>
          <w:szCs w:val="24"/>
        </w:rPr>
        <w:t xml:space="preserve"> </w:t>
      </w:r>
      <w:bookmarkEnd w:id="82"/>
    </w:p>
    <w:p>
      <w:pPr>
        <w:pStyle w:val="4"/>
        <w:spacing w:before="156" w:beforeLines="50" w:after="156" w:afterLines="50" w:line="560" w:lineRule="exact"/>
        <w:jc w:val="center"/>
        <w:rPr>
          <w:rFonts w:ascii="宋体" w:hAnsi="宋体" w:eastAsia="宋体" w:cs="宋体"/>
          <w:sz w:val="28"/>
          <w:szCs w:val="28"/>
        </w:rPr>
      </w:pPr>
      <w:bookmarkStart w:id="83" w:name="_Toc14458"/>
      <w:bookmarkStart w:id="84" w:name="_Toc5553"/>
      <w:r>
        <w:rPr>
          <w:rFonts w:hint="eastAsia" w:ascii="宋体" w:hAnsi="宋体" w:eastAsia="宋体" w:cs="宋体"/>
          <w:sz w:val="28"/>
          <w:szCs w:val="28"/>
        </w:rPr>
        <w:br w:type="page"/>
      </w:r>
      <w:bookmarkStart w:id="85" w:name="_Toc8088"/>
      <w:r>
        <w:rPr>
          <w:rFonts w:hint="eastAsia" w:ascii="宋体" w:hAnsi="宋体" w:eastAsia="宋体" w:cs="宋体"/>
          <w:sz w:val="28"/>
          <w:szCs w:val="28"/>
        </w:rPr>
        <w:t>五、响应文件格式</w:t>
      </w:r>
      <w:bookmarkEnd w:id="83"/>
      <w:bookmarkEnd w:id="84"/>
      <w:bookmarkEnd w:id="85"/>
    </w:p>
    <w:p>
      <w:pPr>
        <w:spacing w:line="500" w:lineRule="exact"/>
        <w:jc w:val="center"/>
        <w:rPr>
          <w:rFonts w:ascii="宋体" w:hAnsi="宋体" w:cs="宋体"/>
          <w:b/>
          <w:sz w:val="32"/>
        </w:rPr>
      </w:pPr>
    </w:p>
    <w:p>
      <w:pPr>
        <w:spacing w:line="500" w:lineRule="exact"/>
        <w:jc w:val="center"/>
        <w:outlineLvl w:val="0"/>
        <w:rPr>
          <w:rFonts w:ascii="宋体" w:hAnsi="宋体" w:cs="宋体"/>
          <w:b/>
          <w:sz w:val="32"/>
        </w:rPr>
      </w:pPr>
      <w:r>
        <w:rPr>
          <w:rFonts w:hint="eastAsia" w:ascii="宋体" w:hAnsi="宋体" w:cs="宋体"/>
          <w:b/>
          <w:sz w:val="32"/>
          <w:u w:val="single"/>
        </w:rPr>
        <w:t>　　　　　　　　　</w:t>
      </w:r>
      <w:bookmarkStart w:id="86" w:name="_Toc4448"/>
      <w:bookmarkStart w:id="87" w:name="_Toc22685"/>
      <w:r>
        <w:rPr>
          <w:rFonts w:hint="eastAsia" w:ascii="宋体" w:hAnsi="宋体" w:cs="宋体"/>
          <w:b/>
          <w:sz w:val="32"/>
        </w:rPr>
        <w:t>项目</w:t>
      </w:r>
      <w:bookmarkEnd w:id="86"/>
      <w:bookmarkEnd w:id="87"/>
    </w:p>
    <w:p>
      <w:pPr>
        <w:spacing w:line="900" w:lineRule="exact"/>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响</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应</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文</w:t>
      </w:r>
    </w:p>
    <w:p>
      <w:pPr>
        <w:spacing w:line="900" w:lineRule="exact"/>
        <w:jc w:val="center"/>
        <w:rPr>
          <w:rFonts w:ascii="宋体" w:hAnsi="宋体" w:cs="宋体"/>
          <w:b/>
          <w:sz w:val="72"/>
        </w:rPr>
      </w:pPr>
    </w:p>
    <w:p>
      <w:pPr>
        <w:jc w:val="center"/>
        <w:rPr>
          <w:rFonts w:ascii="宋体" w:hAnsi="宋体" w:cs="宋体"/>
          <w:b/>
          <w:sz w:val="72"/>
        </w:rPr>
      </w:pPr>
      <w:r>
        <w:rPr>
          <w:rFonts w:hint="eastAsia" w:ascii="宋体" w:hAnsi="宋体" w:cs="宋体"/>
          <w:b/>
          <w:sz w:val="72"/>
        </w:rPr>
        <w:t>件</w:t>
      </w:r>
    </w:p>
    <w:p>
      <w:pPr>
        <w:spacing w:after="156" w:afterLines="50"/>
        <w:jc w:val="center"/>
        <w:rPr>
          <w:rFonts w:ascii="宋体" w:hAnsi="宋体" w:cs="宋体"/>
          <w:b/>
          <w:sz w:val="72"/>
        </w:rPr>
      </w:pPr>
    </w:p>
    <w:p>
      <w:pPr>
        <w:spacing w:after="156" w:afterLines="50" w:line="500" w:lineRule="exact"/>
        <w:jc w:val="center"/>
        <w:rPr>
          <w:rFonts w:ascii="宋体" w:hAnsi="宋体" w:cs="宋体"/>
          <w:b/>
          <w:sz w:val="30"/>
          <w:szCs w:val="30"/>
        </w:rPr>
      </w:pPr>
      <w:r>
        <w:rPr>
          <w:rFonts w:hint="eastAsia" w:ascii="宋体" w:hAnsi="宋体" w:cs="宋体"/>
          <w:b/>
          <w:sz w:val="30"/>
          <w:szCs w:val="30"/>
        </w:rPr>
        <w:t>第</w:t>
      </w:r>
      <w:r>
        <w:rPr>
          <w:rFonts w:hint="eastAsia" w:ascii="宋体" w:hAnsi="宋体" w:cs="宋体"/>
          <w:b/>
          <w:sz w:val="30"/>
          <w:szCs w:val="30"/>
          <w:u w:val="single"/>
        </w:rPr>
        <w:t xml:space="preserve">   </w:t>
      </w:r>
      <w:r>
        <w:rPr>
          <w:rFonts w:hint="eastAsia" w:ascii="宋体" w:hAnsi="宋体" w:cs="宋体"/>
          <w:b/>
          <w:sz w:val="30"/>
          <w:szCs w:val="30"/>
        </w:rPr>
        <w:t>包</w:t>
      </w:r>
    </w:p>
    <w:p>
      <w:pPr>
        <w:spacing w:after="156" w:afterLines="50" w:line="500" w:lineRule="exact"/>
        <w:jc w:val="center"/>
        <w:rPr>
          <w:rFonts w:ascii="宋体" w:hAnsi="宋体" w:cs="宋体"/>
          <w:b/>
          <w:sz w:val="72"/>
        </w:rPr>
      </w:pPr>
    </w:p>
    <w:p>
      <w:pPr>
        <w:spacing w:after="156" w:afterLines="50" w:line="500" w:lineRule="exact"/>
        <w:ind w:firstLine="2088" w:firstLineChars="650"/>
        <w:rPr>
          <w:rFonts w:ascii="宋体" w:hAnsi="宋体" w:cs="宋体"/>
          <w:b/>
          <w:sz w:val="32"/>
          <w:u w:val="single"/>
        </w:rPr>
      </w:pPr>
      <w:r>
        <w:rPr>
          <w:rFonts w:hint="eastAsia" w:ascii="宋体" w:hAnsi="宋体" w:cs="宋体"/>
          <w:b/>
          <w:sz w:val="32"/>
        </w:rPr>
        <w:t>供应商：</w:t>
      </w:r>
    </w:p>
    <w:p>
      <w:pPr>
        <w:spacing w:after="156" w:afterLines="50" w:line="500" w:lineRule="exact"/>
        <w:ind w:firstLine="2088" w:firstLineChars="650"/>
        <w:outlineLvl w:val="0"/>
        <w:rPr>
          <w:rFonts w:ascii="宋体" w:hAnsi="宋体" w:cs="宋体"/>
          <w:sz w:val="24"/>
          <w:szCs w:val="28"/>
        </w:rPr>
      </w:pPr>
      <w:bookmarkStart w:id="88" w:name="_Toc5792"/>
      <w:bookmarkStart w:id="89" w:name="_Toc4670"/>
      <w:r>
        <w:rPr>
          <w:rFonts w:hint="eastAsia" w:ascii="宋体" w:hAnsi="宋体" w:cs="宋体"/>
          <w:b/>
          <w:sz w:val="32"/>
        </w:rPr>
        <w:t>年  月  日</w:t>
      </w:r>
      <w:bookmarkEnd w:id="88"/>
      <w:bookmarkEnd w:id="89"/>
    </w:p>
    <w:p>
      <w:pPr>
        <w:pStyle w:val="4"/>
        <w:spacing w:before="156" w:beforeLines="50" w:after="156" w:afterLines="50" w:line="560" w:lineRule="exact"/>
        <w:jc w:val="center"/>
        <w:rPr>
          <w:rFonts w:ascii="宋体" w:hAnsi="宋体" w:eastAsia="宋体" w:cs="宋体"/>
          <w:sz w:val="24"/>
          <w:szCs w:val="24"/>
        </w:rPr>
      </w:pPr>
      <w:bookmarkStart w:id="90" w:name="_Toc20663"/>
      <w:r>
        <w:rPr>
          <w:rFonts w:hint="eastAsia" w:ascii="宋体" w:hAnsi="宋体" w:eastAsia="宋体" w:cs="宋体"/>
          <w:sz w:val="24"/>
          <w:szCs w:val="24"/>
        </w:rPr>
        <w:br w:type="page"/>
      </w:r>
      <w:bookmarkStart w:id="91" w:name="_Toc2602"/>
      <w:r>
        <w:rPr>
          <w:rFonts w:hint="eastAsia" w:ascii="宋体" w:hAnsi="宋体" w:eastAsia="宋体" w:cs="宋体"/>
          <w:sz w:val="24"/>
          <w:szCs w:val="24"/>
        </w:rPr>
        <w:t>响应文件资料清单</w:t>
      </w:r>
      <w:bookmarkEnd w:id="90"/>
      <w:bookmarkEnd w:id="91"/>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b/>
                <w:sz w:val="24"/>
              </w:rPr>
            </w:pPr>
            <w:r>
              <w:rPr>
                <w:rFonts w:hint="eastAsia" w:ascii="宋体" w:hAnsi="宋体" w:cs="宋体"/>
                <w:b/>
                <w:sz w:val="24"/>
              </w:rPr>
              <w:t>序号</w:t>
            </w:r>
          </w:p>
        </w:tc>
        <w:tc>
          <w:tcPr>
            <w:tcW w:w="6038" w:type="dxa"/>
            <w:vAlign w:val="center"/>
          </w:tcPr>
          <w:p>
            <w:pPr>
              <w:spacing w:line="440" w:lineRule="exact"/>
              <w:jc w:val="center"/>
              <w:rPr>
                <w:rFonts w:ascii="宋体" w:hAnsi="宋体" w:cs="宋体"/>
                <w:b/>
                <w:sz w:val="24"/>
              </w:rPr>
            </w:pPr>
            <w:r>
              <w:rPr>
                <w:rFonts w:hint="eastAsia" w:ascii="宋体" w:hAnsi="宋体" w:cs="宋体"/>
                <w:b/>
                <w:sz w:val="24"/>
              </w:rPr>
              <w:t>资料名称</w:t>
            </w:r>
          </w:p>
        </w:tc>
        <w:tc>
          <w:tcPr>
            <w:tcW w:w="1417" w:type="dxa"/>
            <w:vAlign w:val="center"/>
          </w:tcPr>
          <w:p>
            <w:pPr>
              <w:spacing w:line="440" w:lineRule="exact"/>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一</w:t>
            </w:r>
          </w:p>
        </w:tc>
        <w:tc>
          <w:tcPr>
            <w:tcW w:w="6038" w:type="dxa"/>
            <w:vAlign w:val="center"/>
          </w:tcPr>
          <w:p>
            <w:pPr>
              <w:spacing w:line="440" w:lineRule="exact"/>
              <w:rPr>
                <w:rFonts w:ascii="宋体" w:hAnsi="宋体" w:cs="宋体"/>
                <w:sz w:val="24"/>
              </w:rPr>
            </w:pPr>
            <w:r>
              <w:rPr>
                <w:rFonts w:hint="eastAsia" w:ascii="宋体" w:hAnsi="宋体" w:cs="宋体"/>
                <w:sz w:val="24"/>
                <w:szCs w:val="24"/>
              </w:rPr>
              <w:t>报价单</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二</w:t>
            </w:r>
          </w:p>
        </w:tc>
        <w:tc>
          <w:tcPr>
            <w:tcW w:w="6038" w:type="dxa"/>
            <w:vAlign w:val="center"/>
          </w:tcPr>
          <w:p>
            <w:pPr>
              <w:spacing w:line="440" w:lineRule="exact"/>
              <w:rPr>
                <w:rFonts w:ascii="宋体" w:hAnsi="宋体" w:cs="宋体"/>
                <w:sz w:val="24"/>
              </w:rPr>
            </w:pPr>
            <w:r>
              <w:rPr>
                <w:rFonts w:hint="eastAsia" w:ascii="宋体" w:hAnsi="宋体" w:cs="宋体"/>
                <w:sz w:val="24"/>
              </w:rPr>
              <w:t>供应商基本信息</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三</w:t>
            </w:r>
          </w:p>
        </w:tc>
        <w:tc>
          <w:tcPr>
            <w:tcW w:w="6038" w:type="dxa"/>
            <w:vAlign w:val="center"/>
          </w:tcPr>
          <w:p>
            <w:pPr>
              <w:pStyle w:val="61"/>
              <w:spacing w:line="440" w:lineRule="exact"/>
              <w:rPr>
                <w:rFonts w:ascii="宋体" w:hAnsi="宋体" w:cs="宋体"/>
              </w:rPr>
            </w:pPr>
            <w:r>
              <w:rPr>
                <w:rFonts w:hint="eastAsia" w:ascii="宋体" w:hAnsi="宋体" w:cs="宋体"/>
                <w:szCs w:val="24"/>
              </w:rPr>
              <w:t>磋商授权书</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四</w:t>
            </w:r>
          </w:p>
        </w:tc>
        <w:tc>
          <w:tcPr>
            <w:tcW w:w="6038" w:type="dxa"/>
            <w:vAlign w:val="center"/>
          </w:tcPr>
          <w:p>
            <w:pPr>
              <w:pStyle w:val="61"/>
              <w:spacing w:line="440" w:lineRule="exact"/>
              <w:rPr>
                <w:rFonts w:ascii="宋体" w:hAnsi="宋体" w:cs="宋体"/>
              </w:rPr>
            </w:pPr>
            <w:r>
              <w:rPr>
                <w:rFonts w:hint="eastAsia" w:ascii="宋体" w:hAnsi="宋体" w:cs="宋体"/>
                <w:szCs w:val="24"/>
              </w:rPr>
              <w:t>磋商响应函</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五</w:t>
            </w:r>
          </w:p>
        </w:tc>
        <w:tc>
          <w:tcPr>
            <w:tcW w:w="6038" w:type="dxa"/>
            <w:vAlign w:val="center"/>
          </w:tcPr>
          <w:p>
            <w:pPr>
              <w:spacing w:line="440" w:lineRule="exact"/>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六</w:t>
            </w:r>
          </w:p>
        </w:tc>
        <w:tc>
          <w:tcPr>
            <w:tcW w:w="6038" w:type="dxa"/>
            <w:vAlign w:val="center"/>
          </w:tcPr>
          <w:p>
            <w:pPr>
              <w:spacing w:line="440" w:lineRule="exact"/>
              <w:rPr>
                <w:rFonts w:ascii="宋体" w:hAnsi="宋体" w:cs="宋体"/>
                <w:sz w:val="24"/>
              </w:rPr>
            </w:pPr>
            <w:r>
              <w:rPr>
                <w:rFonts w:hint="eastAsia" w:ascii="宋体" w:hAnsi="宋体" w:cs="宋体"/>
                <w:sz w:val="24"/>
                <w:szCs w:val="24"/>
              </w:rPr>
              <w:t>响应情况表</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七</w:t>
            </w:r>
          </w:p>
        </w:tc>
        <w:tc>
          <w:tcPr>
            <w:tcW w:w="6038" w:type="dxa"/>
            <w:vAlign w:val="center"/>
          </w:tcPr>
          <w:p>
            <w:pPr>
              <w:spacing w:line="440" w:lineRule="exact"/>
              <w:rPr>
                <w:rFonts w:ascii="宋体" w:hAnsi="宋体" w:cs="宋体"/>
                <w:sz w:val="24"/>
              </w:rPr>
            </w:pPr>
            <w:r>
              <w:rPr>
                <w:rFonts w:hint="eastAsia" w:ascii="宋体" w:hAnsi="宋体" w:cs="宋体"/>
                <w:sz w:val="24"/>
                <w:szCs w:val="24"/>
              </w:rPr>
              <w:t>相关服务承诺函</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hint="default" w:ascii="宋体" w:hAnsi="宋体" w:eastAsia="宋体" w:cs="宋体"/>
                <w:sz w:val="24"/>
                <w:lang w:val="en-US" w:eastAsia="zh-CN"/>
              </w:rPr>
            </w:pPr>
            <w:r>
              <w:rPr>
                <w:rFonts w:hint="eastAsia" w:ascii="宋体" w:hAnsi="宋体" w:cs="宋体"/>
                <w:sz w:val="24"/>
                <w:lang w:val="en-US" w:eastAsia="zh-CN"/>
              </w:rPr>
              <w:t>八</w:t>
            </w:r>
          </w:p>
        </w:tc>
        <w:tc>
          <w:tcPr>
            <w:tcW w:w="6038" w:type="dxa"/>
            <w:vAlign w:val="center"/>
          </w:tcPr>
          <w:p>
            <w:pPr>
              <w:spacing w:line="440" w:lineRule="exact"/>
              <w:rPr>
                <w:rFonts w:ascii="宋体" w:hAnsi="宋体" w:cs="宋体"/>
                <w:sz w:val="24"/>
              </w:rPr>
            </w:pPr>
            <w:r>
              <w:rPr>
                <w:rFonts w:hint="eastAsia" w:ascii="宋体" w:hAnsi="宋体" w:cs="宋体"/>
                <w:sz w:val="24"/>
                <w:szCs w:val="24"/>
              </w:rPr>
              <w:t>磋商文件要求和供应商认为需要提供的其它说明和资料</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九</w:t>
            </w:r>
          </w:p>
        </w:tc>
        <w:tc>
          <w:tcPr>
            <w:tcW w:w="6038" w:type="dxa"/>
            <w:vAlign w:val="center"/>
          </w:tcPr>
          <w:p>
            <w:pPr>
              <w:spacing w:line="440" w:lineRule="exact"/>
              <w:rPr>
                <w:rFonts w:hint="default" w:ascii="宋体" w:hAnsi="宋体" w:eastAsia="宋体" w:cs="宋体"/>
                <w:sz w:val="24"/>
                <w:lang w:val="en-US" w:eastAsia="zh-CN"/>
              </w:rPr>
            </w:pPr>
            <w:r>
              <w:rPr>
                <w:rFonts w:hint="eastAsia" w:ascii="宋体" w:hAnsi="宋体" w:cs="宋体"/>
                <w:sz w:val="24"/>
                <w:lang w:val="en-US" w:eastAsia="zh-CN"/>
              </w:rPr>
              <w:t>最终报价书</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417" w:type="dxa"/>
            <w:vAlign w:val="center"/>
          </w:tcPr>
          <w:p>
            <w:pPr>
              <w:spacing w:line="440" w:lineRule="exact"/>
              <w:rPr>
                <w:rFonts w:ascii="宋体" w:hAnsi="宋体" w:cs="宋体"/>
                <w:b/>
                <w:sz w:val="24"/>
              </w:rPr>
            </w:pPr>
          </w:p>
        </w:tc>
      </w:tr>
    </w:tbl>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bookmarkStart w:id="92" w:name="_Toc8158"/>
      <w:bookmarkStart w:id="93" w:name="_Toc10603"/>
      <w:bookmarkStart w:id="94" w:name="_Toc21309"/>
      <w:r>
        <w:rPr>
          <w:rFonts w:hint="eastAsia" w:ascii="宋体" w:hAnsi="宋体" w:eastAsia="宋体" w:cs="宋体"/>
          <w:sz w:val="24"/>
          <w:szCs w:val="24"/>
        </w:rPr>
        <w:t>附件一</w:t>
      </w:r>
      <w:bookmarkEnd w:id="92"/>
      <w:bookmarkEnd w:id="93"/>
      <w:bookmarkEnd w:id="94"/>
    </w:p>
    <w:p>
      <w:pPr>
        <w:pStyle w:val="4"/>
        <w:spacing w:before="0" w:after="0" w:line="560" w:lineRule="exact"/>
        <w:jc w:val="center"/>
        <w:rPr>
          <w:rFonts w:ascii="宋体" w:hAnsi="宋体" w:eastAsia="宋体" w:cs="宋体"/>
          <w:sz w:val="24"/>
          <w:szCs w:val="24"/>
        </w:rPr>
      </w:pPr>
      <w:bookmarkStart w:id="95" w:name="_Toc9181"/>
      <w:bookmarkStart w:id="96" w:name="_Toc10816"/>
      <w:bookmarkStart w:id="97" w:name="_Toc5601"/>
      <w:r>
        <w:rPr>
          <w:rFonts w:hint="eastAsia" w:ascii="宋体" w:hAnsi="宋体" w:eastAsia="宋体" w:cs="宋体"/>
          <w:sz w:val="24"/>
          <w:szCs w:val="24"/>
        </w:rPr>
        <w:t>报价单</w:t>
      </w:r>
      <w:bookmarkEnd w:id="95"/>
      <w:bookmarkEnd w:id="96"/>
      <w:bookmarkEnd w:id="97"/>
    </w:p>
    <w:p>
      <w:pPr>
        <w:rPr>
          <w:rFonts w:ascii="宋体" w:hAnsi="宋体" w:cs="宋体"/>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78"/>
        <w:gridCol w:w="1214"/>
        <w:gridCol w:w="1091"/>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pPr>
              <w:jc w:val="center"/>
              <w:rPr>
                <w:rFonts w:ascii="宋体" w:hAnsi="宋体" w:cs="宋体"/>
                <w:b/>
                <w:sz w:val="24"/>
                <w:szCs w:val="24"/>
              </w:rPr>
            </w:pPr>
            <w:r>
              <w:rPr>
                <w:rFonts w:hint="eastAsia" w:ascii="宋体" w:hAnsi="宋体" w:cs="宋体"/>
                <w:b/>
                <w:sz w:val="24"/>
                <w:szCs w:val="24"/>
              </w:rPr>
              <w:t>序号</w:t>
            </w:r>
          </w:p>
        </w:tc>
        <w:tc>
          <w:tcPr>
            <w:tcW w:w="4078" w:type="dxa"/>
            <w:vAlign w:val="center"/>
          </w:tcPr>
          <w:p>
            <w:pPr>
              <w:jc w:val="center"/>
              <w:rPr>
                <w:rFonts w:ascii="宋体" w:hAnsi="宋体" w:cs="宋体"/>
                <w:b/>
                <w:sz w:val="24"/>
                <w:szCs w:val="24"/>
              </w:rPr>
            </w:pPr>
            <w:r>
              <w:rPr>
                <w:rFonts w:hint="eastAsia" w:ascii="宋体" w:hAnsi="宋体" w:cs="宋体"/>
                <w:b/>
                <w:sz w:val="24"/>
                <w:szCs w:val="24"/>
              </w:rPr>
              <w:t>服务内容</w:t>
            </w:r>
          </w:p>
        </w:tc>
        <w:tc>
          <w:tcPr>
            <w:tcW w:w="1214" w:type="dxa"/>
            <w:vAlign w:val="center"/>
          </w:tcPr>
          <w:p>
            <w:pPr>
              <w:jc w:val="center"/>
              <w:rPr>
                <w:rFonts w:ascii="宋体" w:hAnsi="宋体" w:cs="宋体"/>
                <w:b/>
                <w:sz w:val="24"/>
                <w:szCs w:val="24"/>
              </w:rPr>
            </w:pPr>
            <w:r>
              <w:rPr>
                <w:rFonts w:hint="eastAsia" w:ascii="宋体" w:hAnsi="宋体" w:cs="宋体"/>
                <w:b/>
                <w:sz w:val="24"/>
                <w:szCs w:val="24"/>
              </w:rPr>
              <w:t>项</w:t>
            </w:r>
          </w:p>
        </w:tc>
        <w:tc>
          <w:tcPr>
            <w:tcW w:w="1091" w:type="dxa"/>
            <w:vAlign w:val="center"/>
          </w:tcPr>
          <w:p>
            <w:pPr>
              <w:jc w:val="center"/>
              <w:rPr>
                <w:rFonts w:ascii="宋体" w:hAnsi="宋体" w:cs="宋体"/>
                <w:b/>
                <w:sz w:val="24"/>
                <w:szCs w:val="24"/>
              </w:rPr>
            </w:pPr>
            <w:r>
              <w:rPr>
                <w:rFonts w:hint="eastAsia" w:ascii="宋体" w:hAnsi="宋体" w:cs="宋体"/>
                <w:b/>
                <w:sz w:val="24"/>
                <w:szCs w:val="24"/>
              </w:rPr>
              <w:t>单价</w:t>
            </w:r>
          </w:p>
        </w:tc>
        <w:tc>
          <w:tcPr>
            <w:tcW w:w="1821" w:type="dxa"/>
            <w:vAlign w:val="center"/>
          </w:tcPr>
          <w:p>
            <w:pPr>
              <w:jc w:val="center"/>
              <w:rPr>
                <w:rFonts w:ascii="宋体" w:hAnsi="宋体" w:cs="宋体"/>
                <w:b/>
                <w:sz w:val="24"/>
                <w:szCs w:val="24"/>
              </w:rPr>
            </w:pPr>
            <w:r>
              <w:rPr>
                <w:rFonts w:hint="eastAsia" w:ascii="宋体" w:hAnsi="宋体" w:cs="宋体"/>
                <w:b/>
                <w:sz w:val="24"/>
                <w:szCs w:val="24"/>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pPr>
              <w:jc w:val="center"/>
              <w:rPr>
                <w:rFonts w:ascii="宋体" w:hAnsi="宋体" w:cs="宋体"/>
                <w:bCs/>
                <w:sz w:val="24"/>
                <w:szCs w:val="24"/>
              </w:rPr>
            </w:pPr>
            <w:r>
              <w:rPr>
                <w:rFonts w:hint="eastAsia" w:ascii="宋体" w:hAnsi="宋体" w:cs="宋体"/>
                <w:bCs/>
                <w:sz w:val="24"/>
                <w:szCs w:val="24"/>
              </w:rPr>
              <w:t>1</w:t>
            </w:r>
          </w:p>
        </w:tc>
        <w:tc>
          <w:tcPr>
            <w:tcW w:w="4078" w:type="dxa"/>
            <w:vAlign w:val="center"/>
          </w:tcPr>
          <w:p>
            <w:pPr>
              <w:jc w:val="center"/>
              <w:rPr>
                <w:rFonts w:ascii="宋体" w:hAnsi="宋体" w:cs="宋体"/>
                <w:bCs/>
                <w:sz w:val="24"/>
                <w:szCs w:val="24"/>
              </w:rPr>
            </w:pPr>
          </w:p>
        </w:tc>
        <w:tc>
          <w:tcPr>
            <w:tcW w:w="1214" w:type="dxa"/>
            <w:vAlign w:val="center"/>
          </w:tcPr>
          <w:p>
            <w:pPr>
              <w:jc w:val="center"/>
              <w:rPr>
                <w:rFonts w:ascii="宋体" w:hAnsi="宋体" w:cs="宋体"/>
                <w:bCs/>
                <w:sz w:val="24"/>
                <w:szCs w:val="24"/>
              </w:rPr>
            </w:pPr>
          </w:p>
        </w:tc>
        <w:tc>
          <w:tcPr>
            <w:tcW w:w="1091" w:type="dxa"/>
            <w:vAlign w:val="center"/>
          </w:tcPr>
          <w:p>
            <w:pPr>
              <w:jc w:val="center"/>
              <w:rPr>
                <w:rFonts w:ascii="宋体" w:hAnsi="宋体" w:cs="宋体"/>
                <w:bCs/>
                <w:sz w:val="24"/>
                <w:szCs w:val="24"/>
              </w:rPr>
            </w:pPr>
          </w:p>
        </w:tc>
        <w:tc>
          <w:tcPr>
            <w:tcW w:w="1821" w:type="dxa"/>
            <w:vAlign w:val="center"/>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pPr>
              <w:jc w:val="center"/>
              <w:rPr>
                <w:rFonts w:ascii="宋体" w:hAnsi="宋体" w:cs="宋体"/>
                <w:bCs/>
                <w:sz w:val="24"/>
                <w:szCs w:val="24"/>
              </w:rPr>
            </w:pPr>
            <w:r>
              <w:rPr>
                <w:rFonts w:hint="eastAsia" w:ascii="宋体" w:hAnsi="宋体" w:cs="宋体"/>
                <w:bCs/>
                <w:sz w:val="24"/>
                <w:szCs w:val="24"/>
              </w:rPr>
              <w:t>2</w:t>
            </w:r>
          </w:p>
        </w:tc>
        <w:tc>
          <w:tcPr>
            <w:tcW w:w="4078" w:type="dxa"/>
            <w:vAlign w:val="center"/>
          </w:tcPr>
          <w:p>
            <w:pPr>
              <w:jc w:val="center"/>
              <w:rPr>
                <w:rFonts w:ascii="宋体" w:hAnsi="宋体" w:cs="宋体"/>
                <w:bCs/>
                <w:sz w:val="24"/>
                <w:szCs w:val="24"/>
              </w:rPr>
            </w:pPr>
          </w:p>
        </w:tc>
        <w:tc>
          <w:tcPr>
            <w:tcW w:w="1214" w:type="dxa"/>
            <w:vAlign w:val="center"/>
          </w:tcPr>
          <w:p>
            <w:pPr>
              <w:jc w:val="center"/>
              <w:rPr>
                <w:rFonts w:ascii="宋体" w:hAnsi="宋体" w:cs="宋体"/>
                <w:bCs/>
                <w:sz w:val="24"/>
                <w:szCs w:val="24"/>
              </w:rPr>
            </w:pPr>
          </w:p>
        </w:tc>
        <w:tc>
          <w:tcPr>
            <w:tcW w:w="1091" w:type="dxa"/>
            <w:vAlign w:val="center"/>
          </w:tcPr>
          <w:p>
            <w:pPr>
              <w:jc w:val="center"/>
              <w:rPr>
                <w:rFonts w:ascii="宋体" w:hAnsi="宋体" w:cs="宋体"/>
                <w:bCs/>
                <w:sz w:val="24"/>
                <w:szCs w:val="24"/>
              </w:rPr>
            </w:pPr>
          </w:p>
        </w:tc>
        <w:tc>
          <w:tcPr>
            <w:tcW w:w="1821" w:type="dxa"/>
            <w:vAlign w:val="center"/>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pPr>
              <w:jc w:val="center"/>
              <w:rPr>
                <w:rFonts w:ascii="宋体" w:hAnsi="宋体" w:cs="宋体"/>
                <w:bCs/>
                <w:sz w:val="24"/>
                <w:szCs w:val="24"/>
              </w:rPr>
            </w:pPr>
            <w:r>
              <w:rPr>
                <w:rFonts w:hint="eastAsia" w:ascii="宋体" w:hAnsi="宋体" w:cs="宋体"/>
                <w:bCs/>
                <w:sz w:val="24"/>
                <w:szCs w:val="24"/>
              </w:rPr>
              <w:t>3</w:t>
            </w:r>
          </w:p>
        </w:tc>
        <w:tc>
          <w:tcPr>
            <w:tcW w:w="4078" w:type="dxa"/>
            <w:vAlign w:val="center"/>
          </w:tcPr>
          <w:p>
            <w:pPr>
              <w:jc w:val="center"/>
              <w:rPr>
                <w:rFonts w:ascii="宋体" w:hAnsi="宋体" w:cs="宋体"/>
                <w:bCs/>
                <w:sz w:val="24"/>
                <w:szCs w:val="24"/>
              </w:rPr>
            </w:pPr>
          </w:p>
        </w:tc>
        <w:tc>
          <w:tcPr>
            <w:tcW w:w="1214" w:type="dxa"/>
            <w:vAlign w:val="center"/>
          </w:tcPr>
          <w:p>
            <w:pPr>
              <w:jc w:val="center"/>
              <w:rPr>
                <w:rFonts w:ascii="宋体" w:hAnsi="宋体" w:cs="宋体"/>
                <w:bCs/>
                <w:sz w:val="24"/>
                <w:szCs w:val="24"/>
              </w:rPr>
            </w:pPr>
          </w:p>
        </w:tc>
        <w:tc>
          <w:tcPr>
            <w:tcW w:w="1091" w:type="dxa"/>
            <w:vAlign w:val="center"/>
          </w:tcPr>
          <w:p>
            <w:pPr>
              <w:jc w:val="center"/>
              <w:rPr>
                <w:rFonts w:ascii="宋体" w:hAnsi="宋体" w:cs="宋体"/>
                <w:bCs/>
                <w:sz w:val="24"/>
                <w:szCs w:val="24"/>
              </w:rPr>
            </w:pPr>
          </w:p>
        </w:tc>
        <w:tc>
          <w:tcPr>
            <w:tcW w:w="1821" w:type="dxa"/>
            <w:vAlign w:val="center"/>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pPr>
              <w:jc w:val="center"/>
              <w:rPr>
                <w:rFonts w:ascii="宋体" w:hAnsi="宋体" w:cs="宋体"/>
                <w:bCs/>
                <w:sz w:val="24"/>
                <w:szCs w:val="24"/>
              </w:rPr>
            </w:pPr>
            <w:r>
              <w:rPr>
                <w:rFonts w:hint="eastAsia" w:ascii="宋体" w:hAnsi="宋体" w:cs="宋体"/>
                <w:bCs/>
                <w:sz w:val="24"/>
                <w:szCs w:val="24"/>
              </w:rPr>
              <w:t>…</w:t>
            </w:r>
          </w:p>
        </w:tc>
        <w:tc>
          <w:tcPr>
            <w:tcW w:w="4078" w:type="dxa"/>
            <w:vAlign w:val="center"/>
          </w:tcPr>
          <w:p>
            <w:pPr>
              <w:jc w:val="center"/>
              <w:rPr>
                <w:rFonts w:ascii="宋体" w:hAnsi="宋体" w:cs="宋体"/>
                <w:bCs/>
                <w:sz w:val="24"/>
                <w:szCs w:val="24"/>
              </w:rPr>
            </w:pPr>
          </w:p>
        </w:tc>
        <w:tc>
          <w:tcPr>
            <w:tcW w:w="1214" w:type="dxa"/>
            <w:vAlign w:val="center"/>
          </w:tcPr>
          <w:p>
            <w:pPr>
              <w:jc w:val="center"/>
              <w:rPr>
                <w:rFonts w:ascii="宋体" w:hAnsi="宋体" w:cs="宋体"/>
                <w:bCs/>
                <w:sz w:val="24"/>
                <w:szCs w:val="24"/>
              </w:rPr>
            </w:pPr>
          </w:p>
        </w:tc>
        <w:tc>
          <w:tcPr>
            <w:tcW w:w="1091" w:type="dxa"/>
            <w:vAlign w:val="center"/>
          </w:tcPr>
          <w:p>
            <w:pPr>
              <w:jc w:val="center"/>
              <w:rPr>
                <w:rFonts w:ascii="宋体" w:hAnsi="宋体" w:cs="宋体"/>
                <w:bCs/>
                <w:sz w:val="24"/>
                <w:szCs w:val="24"/>
              </w:rPr>
            </w:pPr>
          </w:p>
        </w:tc>
        <w:tc>
          <w:tcPr>
            <w:tcW w:w="1821" w:type="dxa"/>
            <w:vAlign w:val="center"/>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pPr>
              <w:jc w:val="center"/>
              <w:rPr>
                <w:rFonts w:ascii="宋体" w:hAnsi="宋体" w:cs="宋体"/>
                <w:bCs/>
                <w:sz w:val="24"/>
                <w:szCs w:val="24"/>
              </w:rPr>
            </w:pPr>
          </w:p>
        </w:tc>
        <w:tc>
          <w:tcPr>
            <w:tcW w:w="4078" w:type="dxa"/>
            <w:vAlign w:val="center"/>
          </w:tcPr>
          <w:p>
            <w:pPr>
              <w:pStyle w:val="61"/>
              <w:ind w:left="-108"/>
              <w:jc w:val="center"/>
              <w:rPr>
                <w:rFonts w:ascii="宋体" w:hAnsi="宋体" w:cs="宋体"/>
                <w:bCs/>
                <w:szCs w:val="24"/>
              </w:rPr>
            </w:pPr>
            <w:r>
              <w:rPr>
                <w:rFonts w:hint="eastAsia" w:ascii="宋体" w:hAnsi="宋体" w:cs="宋体"/>
                <w:bCs/>
                <w:szCs w:val="24"/>
              </w:rPr>
              <w:t>其他费用</w:t>
            </w:r>
          </w:p>
        </w:tc>
        <w:tc>
          <w:tcPr>
            <w:tcW w:w="1214" w:type="dxa"/>
            <w:vAlign w:val="center"/>
          </w:tcPr>
          <w:p>
            <w:pPr>
              <w:jc w:val="center"/>
              <w:rPr>
                <w:rFonts w:ascii="宋体" w:hAnsi="宋体" w:cs="宋体"/>
                <w:bCs/>
                <w:sz w:val="24"/>
                <w:szCs w:val="24"/>
              </w:rPr>
            </w:pPr>
          </w:p>
        </w:tc>
        <w:tc>
          <w:tcPr>
            <w:tcW w:w="1091" w:type="dxa"/>
            <w:vAlign w:val="center"/>
          </w:tcPr>
          <w:p>
            <w:pPr>
              <w:jc w:val="center"/>
              <w:rPr>
                <w:rFonts w:ascii="宋体" w:hAnsi="宋体" w:cs="宋体"/>
                <w:bCs/>
                <w:sz w:val="24"/>
                <w:szCs w:val="24"/>
              </w:rPr>
            </w:pPr>
          </w:p>
        </w:tc>
        <w:tc>
          <w:tcPr>
            <w:tcW w:w="1821" w:type="dxa"/>
            <w:vAlign w:val="center"/>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pPr>
              <w:jc w:val="center"/>
              <w:rPr>
                <w:rFonts w:ascii="宋体" w:hAnsi="宋体" w:cs="宋体"/>
                <w:bCs/>
                <w:sz w:val="24"/>
                <w:szCs w:val="24"/>
              </w:rPr>
            </w:pPr>
          </w:p>
        </w:tc>
        <w:tc>
          <w:tcPr>
            <w:tcW w:w="4078" w:type="dxa"/>
            <w:vAlign w:val="center"/>
          </w:tcPr>
          <w:p>
            <w:pPr>
              <w:jc w:val="center"/>
              <w:rPr>
                <w:rFonts w:ascii="宋体" w:hAnsi="宋体" w:cs="宋体"/>
                <w:bCs/>
                <w:sz w:val="24"/>
                <w:szCs w:val="24"/>
              </w:rPr>
            </w:pPr>
            <w:r>
              <w:rPr>
                <w:rFonts w:hint="eastAsia" w:ascii="宋体" w:hAnsi="宋体" w:cs="宋体"/>
                <w:bCs/>
                <w:sz w:val="24"/>
                <w:szCs w:val="24"/>
              </w:rPr>
              <w:t>……</w:t>
            </w:r>
          </w:p>
        </w:tc>
        <w:tc>
          <w:tcPr>
            <w:tcW w:w="1214" w:type="dxa"/>
            <w:vAlign w:val="center"/>
          </w:tcPr>
          <w:p>
            <w:pPr>
              <w:jc w:val="center"/>
              <w:rPr>
                <w:rFonts w:ascii="宋体" w:hAnsi="宋体" w:cs="宋体"/>
                <w:bCs/>
                <w:sz w:val="24"/>
                <w:szCs w:val="24"/>
              </w:rPr>
            </w:pPr>
          </w:p>
        </w:tc>
        <w:tc>
          <w:tcPr>
            <w:tcW w:w="1091" w:type="dxa"/>
            <w:vAlign w:val="center"/>
          </w:tcPr>
          <w:p>
            <w:pPr>
              <w:jc w:val="center"/>
              <w:rPr>
                <w:rFonts w:ascii="宋体" w:hAnsi="宋体" w:cs="宋体"/>
                <w:bCs/>
                <w:sz w:val="24"/>
                <w:szCs w:val="24"/>
              </w:rPr>
            </w:pPr>
          </w:p>
        </w:tc>
        <w:tc>
          <w:tcPr>
            <w:tcW w:w="1821" w:type="dxa"/>
            <w:vAlign w:val="center"/>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vAlign w:val="center"/>
          </w:tcPr>
          <w:p>
            <w:pPr>
              <w:jc w:val="center"/>
              <w:rPr>
                <w:rFonts w:ascii="宋体" w:hAnsi="宋体" w:cs="宋体"/>
                <w:bCs/>
                <w:sz w:val="24"/>
                <w:szCs w:val="24"/>
              </w:rPr>
            </w:pPr>
            <w:r>
              <w:rPr>
                <w:rFonts w:hint="eastAsia" w:ascii="宋体" w:hAnsi="宋体" w:cs="宋体"/>
                <w:b/>
                <w:sz w:val="24"/>
                <w:szCs w:val="24"/>
              </w:rPr>
              <w:t>合计金额（元）</w:t>
            </w:r>
          </w:p>
        </w:tc>
        <w:tc>
          <w:tcPr>
            <w:tcW w:w="1821" w:type="dxa"/>
            <w:vAlign w:val="center"/>
          </w:tcPr>
          <w:p>
            <w:pPr>
              <w:jc w:val="center"/>
              <w:rPr>
                <w:rFonts w:ascii="宋体" w:hAnsi="宋体" w:cs="宋体"/>
                <w:bCs/>
                <w:sz w:val="24"/>
                <w:szCs w:val="24"/>
              </w:rPr>
            </w:pPr>
          </w:p>
        </w:tc>
      </w:tr>
    </w:tbl>
    <w:p>
      <w:pPr>
        <w:pStyle w:val="19"/>
        <w:spacing w:line="360" w:lineRule="auto"/>
        <w:rPr>
          <w:rFonts w:ascii="宋体" w:hAnsi="宋体" w:eastAsia="宋体" w:cs="宋体"/>
          <w:b/>
          <w:bCs/>
          <w:sz w:val="24"/>
        </w:rPr>
      </w:pPr>
    </w:p>
    <w:p>
      <w:pPr>
        <w:pStyle w:val="19"/>
        <w:spacing w:line="560" w:lineRule="exact"/>
        <w:rPr>
          <w:rFonts w:ascii="宋体" w:hAnsi="宋体" w:eastAsia="宋体" w:cs="宋体"/>
          <w:b/>
          <w:bCs/>
          <w:sz w:val="24"/>
          <w:szCs w:val="28"/>
        </w:rPr>
      </w:pPr>
      <w:r>
        <w:rPr>
          <w:rFonts w:hint="eastAsia" w:ascii="宋体" w:hAnsi="宋体" w:eastAsia="宋体" w:cs="宋体"/>
          <w:b/>
          <w:bCs/>
          <w:sz w:val="24"/>
        </w:rPr>
        <w:t>供应商电子签章：</w:t>
      </w:r>
    </w:p>
    <w:p>
      <w:pPr>
        <w:adjustRightInd w:val="0"/>
        <w:snapToGrid w:val="0"/>
        <w:spacing w:line="560" w:lineRule="exact"/>
        <w:rPr>
          <w:rFonts w:ascii="宋体" w:hAnsi="宋体" w:cs="宋体"/>
          <w:b/>
          <w:bCs/>
          <w:sz w:val="24"/>
          <w:szCs w:val="28"/>
        </w:rPr>
      </w:pPr>
      <w:r>
        <w:rPr>
          <w:rFonts w:hint="eastAsia" w:ascii="宋体" w:hAnsi="宋体" w:cs="宋体"/>
          <w:b/>
          <w:bCs/>
          <w:sz w:val="24"/>
          <w:szCs w:val="28"/>
        </w:rPr>
        <w:t>日  期：   年   月   日</w:t>
      </w:r>
    </w:p>
    <w:p>
      <w:pPr>
        <w:adjustRightInd w:val="0"/>
        <w:snapToGrid w:val="0"/>
        <w:spacing w:line="360" w:lineRule="auto"/>
        <w:rPr>
          <w:rFonts w:ascii="宋体" w:hAnsi="宋体" w:cs="宋体"/>
          <w:b/>
          <w:bCs/>
          <w:sz w:val="24"/>
          <w:szCs w:val="28"/>
        </w:rPr>
      </w:pPr>
    </w:p>
    <w:p>
      <w:pPr>
        <w:adjustRightInd w:val="0"/>
        <w:snapToGrid w:val="0"/>
        <w:spacing w:line="360" w:lineRule="auto"/>
        <w:rPr>
          <w:rFonts w:ascii="宋体" w:hAnsi="宋体" w:cs="宋体"/>
          <w:b/>
          <w:sz w:val="24"/>
          <w:szCs w:val="24"/>
        </w:rPr>
      </w:pPr>
      <w:bookmarkStart w:id="98" w:name="_Toc16998"/>
      <w:bookmarkStart w:id="99" w:name="_Toc2007"/>
    </w:p>
    <w:p>
      <w:pPr>
        <w:adjustRightInd w:val="0"/>
        <w:snapToGrid w:val="0"/>
        <w:spacing w:line="360" w:lineRule="auto"/>
        <w:rPr>
          <w:rFonts w:ascii="宋体" w:hAnsi="宋体" w:cs="宋体"/>
          <w:b/>
          <w:sz w:val="24"/>
          <w:szCs w:val="24"/>
        </w:rPr>
      </w:pPr>
      <w:r>
        <w:rPr>
          <w:rFonts w:hint="eastAsia" w:ascii="宋体" w:hAnsi="宋体" w:cs="宋体"/>
          <w:b/>
          <w:sz w:val="24"/>
          <w:szCs w:val="24"/>
        </w:rPr>
        <w:t>注：表中所列服务为对应本项目需求的全部服务内容。如有漏项或缺项，供应商承担全部责任。</w:t>
      </w:r>
    </w:p>
    <w:p>
      <w:pPr>
        <w:pStyle w:val="4"/>
        <w:wordWrap w:val="0"/>
        <w:spacing w:before="0" w:after="0" w:line="520" w:lineRule="exact"/>
        <w:rPr>
          <w:rFonts w:ascii="宋体" w:hAnsi="宋体" w:eastAsia="宋体" w:cs="宋体"/>
          <w:sz w:val="24"/>
          <w:szCs w:val="24"/>
        </w:rPr>
      </w:pPr>
    </w:p>
    <w:p>
      <w:pPr>
        <w:pStyle w:val="4"/>
        <w:wordWrap w:val="0"/>
        <w:spacing w:before="0" w:after="0" w:line="520" w:lineRule="exact"/>
        <w:rPr>
          <w:rFonts w:ascii="宋体" w:hAnsi="宋体" w:eastAsia="宋体" w:cs="宋体"/>
          <w:sz w:val="24"/>
          <w:szCs w:val="24"/>
        </w:rPr>
      </w:pPr>
    </w:p>
    <w:p>
      <w:pPr>
        <w:pStyle w:val="4"/>
        <w:wordWrap w:val="0"/>
        <w:spacing w:before="0" w:after="0" w:line="520" w:lineRule="exact"/>
        <w:rPr>
          <w:rFonts w:ascii="宋体" w:hAnsi="宋体" w:eastAsia="宋体" w:cs="宋体"/>
          <w:sz w:val="24"/>
          <w:szCs w:val="24"/>
        </w:rPr>
      </w:pPr>
    </w:p>
    <w:p>
      <w:pPr>
        <w:pStyle w:val="4"/>
        <w:wordWrap w:val="0"/>
        <w:spacing w:before="0" w:after="0" w:line="520" w:lineRule="exact"/>
        <w:rPr>
          <w:rFonts w:ascii="宋体" w:hAnsi="宋体" w:eastAsia="宋体" w:cs="宋体"/>
          <w:sz w:val="24"/>
          <w:szCs w:val="24"/>
        </w:rPr>
      </w:pPr>
      <w:r>
        <w:rPr>
          <w:rFonts w:hint="eastAsia" w:ascii="宋体" w:hAnsi="宋体" w:eastAsia="宋体" w:cs="宋体"/>
          <w:sz w:val="24"/>
          <w:szCs w:val="24"/>
        </w:rPr>
        <w:br w:type="page"/>
      </w:r>
      <w:bookmarkStart w:id="100" w:name="_Toc22855"/>
      <w:r>
        <w:rPr>
          <w:rFonts w:hint="eastAsia" w:ascii="宋体" w:hAnsi="宋体" w:eastAsia="宋体" w:cs="宋体"/>
          <w:sz w:val="24"/>
          <w:szCs w:val="24"/>
        </w:rPr>
        <w:t>附件二</w:t>
      </w:r>
      <w:bookmarkEnd w:id="98"/>
      <w:bookmarkEnd w:id="99"/>
      <w:bookmarkEnd w:id="100"/>
    </w:p>
    <w:p>
      <w:pPr>
        <w:pStyle w:val="4"/>
        <w:spacing w:before="0" w:after="0" w:line="520" w:lineRule="exact"/>
        <w:jc w:val="center"/>
        <w:rPr>
          <w:rFonts w:ascii="宋体" w:hAnsi="宋体" w:eastAsia="宋体" w:cs="宋体"/>
          <w:sz w:val="24"/>
          <w:szCs w:val="24"/>
        </w:rPr>
      </w:pPr>
      <w:bookmarkStart w:id="101" w:name="_Toc17280"/>
      <w:bookmarkStart w:id="102" w:name="_Toc3262"/>
      <w:bookmarkStart w:id="103" w:name="_Toc29464"/>
      <w:r>
        <w:rPr>
          <w:rFonts w:hint="eastAsia" w:ascii="宋体" w:hAnsi="宋体" w:eastAsia="宋体" w:cs="宋体"/>
          <w:sz w:val="24"/>
          <w:szCs w:val="24"/>
        </w:rPr>
        <w:t>供应商基本信息</w:t>
      </w:r>
      <w:bookmarkEnd w:id="101"/>
      <w:bookmarkEnd w:id="102"/>
      <w:bookmarkEnd w:id="103"/>
    </w:p>
    <w:p>
      <w:pPr>
        <w:pStyle w:val="34"/>
        <w:spacing w:after="0" w:line="520" w:lineRule="exact"/>
        <w:ind w:firstLine="0"/>
        <w:jc w:val="center"/>
        <w:rPr>
          <w:rFonts w:ascii="宋体" w:hAnsi="宋体" w:cs="宋体"/>
        </w:rPr>
      </w:pPr>
      <w:r>
        <w:rPr>
          <w:rFonts w:hint="eastAsia" w:ascii="宋体" w:hAnsi="宋体" w:cs="宋体"/>
        </w:rPr>
        <w:t>（自行上传市场主体信息库信息）</w:t>
      </w:r>
    </w:p>
    <w:p>
      <w:pPr>
        <w:pStyle w:val="4"/>
        <w:wordWrap w:val="0"/>
        <w:spacing w:before="0" w:after="0" w:line="520" w:lineRule="exact"/>
        <w:rPr>
          <w:rFonts w:ascii="宋体" w:hAnsi="宋体" w:eastAsia="宋体" w:cs="宋体"/>
          <w:sz w:val="24"/>
          <w:szCs w:val="24"/>
        </w:rPr>
      </w:pPr>
      <w:bookmarkStart w:id="104" w:name="_Toc18369"/>
      <w:bookmarkStart w:id="105" w:name="_Toc10154"/>
      <w:bookmarkStart w:id="106" w:name="_Toc11062"/>
      <w:r>
        <w:rPr>
          <w:rFonts w:hint="eastAsia" w:ascii="宋体" w:hAnsi="宋体" w:eastAsia="宋体" w:cs="宋体"/>
          <w:sz w:val="24"/>
          <w:szCs w:val="24"/>
        </w:rPr>
        <w:t>附件三</w:t>
      </w:r>
      <w:bookmarkEnd w:id="104"/>
      <w:bookmarkEnd w:id="105"/>
      <w:bookmarkEnd w:id="106"/>
    </w:p>
    <w:p>
      <w:pPr>
        <w:pStyle w:val="4"/>
        <w:spacing w:before="0" w:after="0" w:line="520" w:lineRule="exact"/>
        <w:jc w:val="center"/>
        <w:rPr>
          <w:rFonts w:ascii="宋体" w:hAnsi="宋体" w:eastAsia="宋体" w:cs="宋体"/>
          <w:sz w:val="24"/>
          <w:szCs w:val="24"/>
        </w:rPr>
      </w:pPr>
      <w:bookmarkStart w:id="107" w:name="_Toc30135"/>
      <w:bookmarkStart w:id="108" w:name="_Toc10696"/>
      <w:bookmarkStart w:id="109" w:name="_Toc13141"/>
      <w:r>
        <w:rPr>
          <w:rFonts w:hint="eastAsia" w:ascii="宋体" w:hAnsi="宋体" w:eastAsia="宋体" w:cs="宋体"/>
          <w:sz w:val="24"/>
          <w:szCs w:val="24"/>
        </w:rPr>
        <w:t>磋商授权书</w:t>
      </w:r>
      <w:bookmarkEnd w:id="107"/>
      <w:bookmarkEnd w:id="108"/>
      <w:bookmarkEnd w:id="109"/>
    </w:p>
    <w:p>
      <w:pPr>
        <w:spacing w:line="520" w:lineRule="exact"/>
        <w:rPr>
          <w:rFonts w:ascii="宋体" w:hAnsi="宋体" w:cs="宋体"/>
          <w:sz w:val="24"/>
          <w:szCs w:val="24"/>
        </w:rPr>
      </w:pPr>
    </w:p>
    <w:p>
      <w:pPr>
        <w:spacing w:line="520" w:lineRule="exact"/>
        <w:jc w:val="left"/>
        <w:rPr>
          <w:rFonts w:ascii="宋体" w:hAnsi="宋体" w:cs="宋体"/>
          <w:sz w:val="24"/>
          <w:szCs w:val="24"/>
        </w:rPr>
      </w:pPr>
      <w:r>
        <w:rPr>
          <w:rFonts w:hint="eastAsia" w:ascii="宋体" w:hAnsi="宋体" w:cs="宋体"/>
          <w:sz w:val="24"/>
          <w:szCs w:val="24"/>
        </w:rPr>
        <w:t>致：_________________</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（供应商名称）的</w:t>
      </w:r>
      <w:r>
        <w:rPr>
          <w:rFonts w:hint="eastAsia" w:ascii="宋体" w:hAnsi="宋体" w:cs="宋体"/>
          <w:sz w:val="24"/>
          <w:szCs w:val="24"/>
          <w:u w:val="single"/>
        </w:rPr>
        <w:t xml:space="preserve">        </w:t>
      </w:r>
      <w:r>
        <w:rPr>
          <w:rFonts w:hint="eastAsia" w:ascii="宋体" w:hAnsi="宋体" w:cs="宋体"/>
          <w:sz w:val="24"/>
          <w:szCs w:val="24"/>
        </w:rPr>
        <w:t>（法定代表人姓名）授权</w:t>
      </w:r>
      <w:r>
        <w:rPr>
          <w:rFonts w:hint="eastAsia" w:ascii="宋体" w:hAnsi="宋体" w:cs="宋体"/>
          <w:sz w:val="24"/>
          <w:szCs w:val="24"/>
          <w:u w:val="single"/>
        </w:rPr>
        <w:t xml:space="preserve">         </w:t>
      </w:r>
      <w:r>
        <w:rPr>
          <w:rFonts w:hint="eastAsia" w:ascii="宋体" w:hAnsi="宋体" w:cs="宋体"/>
          <w:sz w:val="24"/>
          <w:szCs w:val="24"/>
        </w:rPr>
        <w:t>（被授权人的姓名）为我方就</w:t>
      </w:r>
      <w:r>
        <w:rPr>
          <w:rFonts w:hint="eastAsia" w:ascii="宋体" w:hAnsi="宋体" w:cs="宋体"/>
          <w:sz w:val="24"/>
          <w:szCs w:val="24"/>
          <w:u w:val="single"/>
        </w:rPr>
        <w:t xml:space="preserve">         </w:t>
      </w: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rPr>
        <w:t>）项目磋商活动的合法代理人，以我方名义全权处理与该项目磋商、签订合同以及合同执行有关的一切事务。</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特此声明。</w:t>
      </w:r>
    </w:p>
    <w:p>
      <w:pPr>
        <w:spacing w:line="520" w:lineRule="exact"/>
        <w:jc w:val="left"/>
        <w:rPr>
          <w:rFonts w:ascii="宋体" w:hAnsi="宋体" w:cs="宋体"/>
          <w:sz w:val="24"/>
          <w:szCs w:val="24"/>
        </w:rPr>
      </w:pPr>
    </w:p>
    <w:p>
      <w:pPr>
        <w:spacing w:line="520" w:lineRule="exact"/>
        <w:ind w:firstLine="1084" w:firstLineChars="450"/>
        <w:jc w:val="left"/>
        <w:rPr>
          <w:rFonts w:ascii="宋体" w:hAnsi="宋体" w:cs="宋体"/>
          <w:sz w:val="24"/>
          <w:szCs w:val="24"/>
          <w:u w:val="single"/>
        </w:rPr>
      </w:pPr>
      <w:r>
        <w:rPr>
          <w:rFonts w:hint="eastAsia" w:ascii="宋体" w:hAnsi="宋体" w:cs="宋体"/>
          <w:b/>
          <w:bCs/>
          <w:sz w:val="24"/>
          <w:szCs w:val="24"/>
        </w:rPr>
        <w:t>法定代表人签字：</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pPr>
        <w:spacing w:line="520" w:lineRule="exact"/>
        <w:ind w:firstLine="1084" w:firstLineChars="450"/>
        <w:jc w:val="left"/>
        <w:rPr>
          <w:rFonts w:ascii="宋体" w:hAnsi="宋体" w:cs="宋体"/>
          <w:b/>
          <w:bCs/>
          <w:sz w:val="24"/>
          <w:szCs w:val="24"/>
        </w:rPr>
      </w:pPr>
    </w:p>
    <w:p>
      <w:pPr>
        <w:spacing w:line="520" w:lineRule="exact"/>
        <w:ind w:firstLine="1084" w:firstLineChars="450"/>
        <w:jc w:val="left"/>
        <w:rPr>
          <w:rFonts w:ascii="宋体" w:hAnsi="宋体" w:cs="宋体"/>
          <w:sz w:val="24"/>
          <w:szCs w:val="24"/>
        </w:rPr>
      </w:pPr>
      <w:r>
        <w:rPr>
          <w:rFonts w:hint="eastAsia" w:ascii="宋体" w:hAnsi="宋体" w:cs="宋体"/>
          <w:b/>
          <w:bCs/>
          <w:sz w:val="24"/>
          <w:szCs w:val="24"/>
        </w:rPr>
        <w:t>代理人（被授权人）：</w:t>
      </w:r>
      <w:r>
        <w:rPr>
          <w:rFonts w:hint="eastAsia" w:ascii="宋体" w:hAnsi="宋体" w:cs="宋体"/>
          <w:sz w:val="24"/>
          <w:szCs w:val="24"/>
          <w:u w:val="single"/>
        </w:rPr>
        <w:t xml:space="preserve">                     </w:t>
      </w:r>
    </w:p>
    <w:p>
      <w:pPr>
        <w:spacing w:line="520" w:lineRule="exact"/>
        <w:jc w:val="left"/>
        <w:rPr>
          <w:rFonts w:ascii="宋体" w:hAnsi="宋体" w:cs="宋体"/>
          <w:sz w:val="24"/>
          <w:szCs w:val="24"/>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pPr>
        <w:spacing w:line="520" w:lineRule="exact"/>
        <w:jc w:val="left"/>
        <w:rPr>
          <w:rFonts w:ascii="宋体" w:hAnsi="宋体" w:cs="宋体"/>
          <w:sz w:val="24"/>
          <w:szCs w:val="24"/>
        </w:rPr>
      </w:pPr>
    </w:p>
    <w:p>
      <w:pPr>
        <w:wordWrap w:val="0"/>
        <w:spacing w:line="520" w:lineRule="exact"/>
        <w:jc w:val="right"/>
        <w:rPr>
          <w:rFonts w:ascii="宋体" w:hAnsi="宋体" w:cs="宋体"/>
          <w:sz w:val="24"/>
          <w:szCs w:val="24"/>
        </w:rPr>
      </w:pPr>
      <w:r>
        <w:rPr>
          <w:rFonts w:hint="eastAsia" w:ascii="宋体" w:hAnsi="宋体" w:cs="宋体"/>
          <w:sz w:val="24"/>
          <w:szCs w:val="24"/>
        </w:rPr>
        <w:t xml:space="preserve">                                                      </w:t>
      </w:r>
    </w:p>
    <w:p>
      <w:pPr>
        <w:spacing w:line="520" w:lineRule="exact"/>
        <w:ind w:firstLine="4245" w:firstLineChars="1762"/>
        <w:rPr>
          <w:rFonts w:ascii="宋体" w:hAnsi="宋体" w:cs="宋体"/>
          <w:b/>
          <w:bCs/>
          <w:sz w:val="24"/>
          <w:szCs w:val="24"/>
          <w:u w:val="single"/>
        </w:rPr>
      </w:pPr>
      <w:r>
        <w:rPr>
          <w:rFonts w:hint="eastAsia" w:ascii="宋体" w:hAnsi="宋体" w:cs="宋体"/>
          <w:b/>
          <w:bCs/>
          <w:sz w:val="24"/>
          <w:szCs w:val="24"/>
        </w:rPr>
        <w:t>供应商电子签章：</w:t>
      </w:r>
    </w:p>
    <w:p>
      <w:pPr>
        <w:tabs>
          <w:tab w:val="left" w:pos="630"/>
        </w:tabs>
        <w:spacing w:line="520" w:lineRule="exact"/>
        <w:ind w:firstLine="4245" w:firstLineChars="1762"/>
        <w:rPr>
          <w:rFonts w:ascii="宋体" w:hAnsi="宋体" w:cs="宋体"/>
          <w:b/>
          <w:bCs/>
          <w:sz w:val="24"/>
          <w:szCs w:val="24"/>
        </w:rPr>
      </w:pPr>
      <w:r>
        <w:rPr>
          <w:rFonts w:hint="eastAsia" w:ascii="宋体" w:hAnsi="宋体" w:cs="宋体"/>
          <w:b/>
          <w:bCs/>
          <w:sz w:val="24"/>
          <w:szCs w:val="24"/>
        </w:rPr>
        <w:t>日期：</w:t>
      </w:r>
    </w:p>
    <w:p>
      <w:pPr>
        <w:pStyle w:val="4"/>
        <w:spacing w:before="0" w:after="0" w:line="560" w:lineRule="exact"/>
        <w:rPr>
          <w:rFonts w:ascii="宋体" w:hAnsi="宋体" w:eastAsia="宋体" w:cs="宋体"/>
          <w:sz w:val="24"/>
          <w:szCs w:val="24"/>
        </w:rPr>
      </w:pPr>
      <w:bookmarkStart w:id="110" w:name="_Toc23589"/>
      <w:bookmarkStart w:id="111" w:name="_Toc17226"/>
      <w:r>
        <w:rPr>
          <w:rFonts w:hint="eastAsia" w:ascii="宋体" w:hAnsi="宋体" w:eastAsia="宋体" w:cs="宋体"/>
          <w:sz w:val="24"/>
          <w:szCs w:val="24"/>
        </w:rPr>
        <w:br w:type="page"/>
      </w:r>
      <w:bookmarkStart w:id="112" w:name="_Toc17888"/>
      <w:r>
        <w:rPr>
          <w:rFonts w:hint="eastAsia" w:ascii="宋体" w:hAnsi="宋体" w:eastAsia="宋体" w:cs="宋体"/>
          <w:sz w:val="24"/>
          <w:szCs w:val="24"/>
        </w:rPr>
        <w:t>附件四</w:t>
      </w:r>
      <w:bookmarkEnd w:id="110"/>
      <w:bookmarkEnd w:id="111"/>
      <w:bookmarkEnd w:id="112"/>
    </w:p>
    <w:p>
      <w:pPr>
        <w:pStyle w:val="4"/>
        <w:spacing w:before="0" w:after="156" w:afterLines="50" w:line="560" w:lineRule="exact"/>
        <w:jc w:val="center"/>
        <w:rPr>
          <w:rFonts w:ascii="宋体" w:hAnsi="宋体" w:eastAsia="宋体" w:cs="宋体"/>
          <w:sz w:val="24"/>
          <w:szCs w:val="24"/>
        </w:rPr>
      </w:pPr>
      <w:bookmarkStart w:id="113" w:name="_Toc29263"/>
      <w:bookmarkStart w:id="114" w:name="_Toc6278"/>
      <w:bookmarkStart w:id="115" w:name="_Toc28665"/>
      <w:bookmarkStart w:id="116" w:name="_Toc417045478"/>
      <w:r>
        <w:rPr>
          <w:rFonts w:hint="eastAsia" w:ascii="宋体" w:hAnsi="宋体" w:eastAsia="宋体" w:cs="宋体"/>
          <w:sz w:val="24"/>
          <w:szCs w:val="24"/>
        </w:rPr>
        <w:t>磋商响应函</w:t>
      </w:r>
      <w:bookmarkEnd w:id="113"/>
      <w:bookmarkEnd w:id="114"/>
      <w:bookmarkEnd w:id="115"/>
    </w:p>
    <w:p>
      <w:pPr>
        <w:spacing w:line="360" w:lineRule="auto"/>
        <w:rPr>
          <w:rFonts w:ascii="宋体" w:hAnsi="宋体" w:cs="宋体"/>
          <w:sz w:val="24"/>
          <w:szCs w:val="24"/>
        </w:rPr>
      </w:pPr>
      <w:r>
        <w:rPr>
          <w:rFonts w:hint="eastAsia" w:ascii="宋体" w:hAnsi="宋体" w:cs="宋体"/>
          <w:sz w:val="24"/>
          <w:szCs w:val="24"/>
        </w:rPr>
        <w:t>致：XXX（代理机构名称）</w:t>
      </w:r>
    </w:p>
    <w:p>
      <w:pPr>
        <w:spacing w:line="360" w:lineRule="auto"/>
        <w:ind w:firstLine="480" w:firstLineChars="200"/>
        <w:rPr>
          <w:rFonts w:ascii="宋体" w:hAnsi="宋体" w:cs="宋体"/>
          <w:sz w:val="24"/>
          <w:szCs w:val="24"/>
        </w:rPr>
      </w:pPr>
      <w:r>
        <w:rPr>
          <w:rFonts w:hint="eastAsia" w:ascii="宋体" w:hAnsi="宋体" w:cs="宋体"/>
          <w:sz w:val="24"/>
          <w:szCs w:val="24"/>
        </w:rPr>
        <w:t>1、根据项目编号：</w:t>
      </w:r>
      <w:r>
        <w:rPr>
          <w:rFonts w:hint="eastAsia" w:ascii="宋体" w:hAnsi="宋体" w:cs="宋体"/>
          <w:sz w:val="24"/>
          <w:szCs w:val="24"/>
          <w:u w:val="single"/>
        </w:rPr>
        <w:t xml:space="preserve">       </w:t>
      </w:r>
      <w:r>
        <w:rPr>
          <w:rFonts w:hint="eastAsia" w:ascii="宋体" w:hAnsi="宋体" w:cs="宋体"/>
          <w:sz w:val="24"/>
          <w:szCs w:val="24"/>
        </w:rPr>
        <w:t>号磋商公告的内容，我方决定参加贵方组织的“</w:t>
      </w:r>
      <w:r>
        <w:rPr>
          <w:rFonts w:hint="eastAsia" w:ascii="宋体" w:hAnsi="宋体" w:cs="宋体"/>
          <w:sz w:val="24"/>
          <w:szCs w:val="24"/>
          <w:u w:val="single"/>
        </w:rPr>
        <w:t xml:space="preserve">                 </w:t>
      </w:r>
      <w:r>
        <w:rPr>
          <w:rFonts w:hint="eastAsia" w:ascii="宋体" w:hAnsi="宋体" w:cs="宋体"/>
          <w:sz w:val="24"/>
          <w:szCs w:val="24"/>
        </w:rPr>
        <w:t>”项目的竞争性磋商采购。我方授权</w:t>
      </w:r>
      <w:r>
        <w:rPr>
          <w:rFonts w:hint="eastAsia" w:ascii="宋体" w:hAnsi="宋体" w:cs="宋体"/>
          <w:sz w:val="24"/>
          <w:szCs w:val="24"/>
          <w:u w:val="single"/>
        </w:rPr>
        <w:t xml:space="preserve">         </w:t>
      </w:r>
      <w:r>
        <w:rPr>
          <w:rFonts w:hint="eastAsia" w:ascii="宋体" w:hAnsi="宋体" w:cs="宋体"/>
          <w:sz w:val="24"/>
          <w:szCs w:val="24"/>
        </w:rPr>
        <w:t>(姓名)代表我方</w:t>
      </w:r>
      <w:r>
        <w:rPr>
          <w:rFonts w:hint="eastAsia" w:ascii="宋体" w:hAnsi="宋体" w:cs="宋体"/>
          <w:sz w:val="24"/>
          <w:szCs w:val="24"/>
          <w:u w:val="single"/>
        </w:rPr>
        <w:t xml:space="preserve">           </w:t>
      </w:r>
      <w:r>
        <w:rPr>
          <w:rFonts w:hint="eastAsia" w:ascii="宋体" w:hAnsi="宋体" w:cs="宋体"/>
          <w:sz w:val="24"/>
          <w:szCs w:val="24"/>
        </w:rPr>
        <w:t>（磋商单位的名称）全权处理本项目磋商的有关事宜。</w:t>
      </w:r>
    </w:p>
    <w:p>
      <w:pPr>
        <w:spacing w:line="360" w:lineRule="auto"/>
        <w:ind w:firstLine="480" w:firstLineChars="200"/>
        <w:rPr>
          <w:rFonts w:ascii="宋体" w:hAnsi="宋体" w:cs="宋体"/>
          <w:sz w:val="24"/>
          <w:szCs w:val="24"/>
        </w:rPr>
      </w:pPr>
      <w:r>
        <w:rPr>
          <w:rFonts w:hint="eastAsia" w:ascii="宋体" w:hAnsi="宋体" w:cs="宋体"/>
          <w:sz w:val="24"/>
          <w:szCs w:val="24"/>
        </w:rPr>
        <w:t>2、我方愿意按照磋商文件规定的各项要求，向采购人提供所需的服务。</w:t>
      </w:r>
    </w:p>
    <w:p>
      <w:pPr>
        <w:spacing w:line="360" w:lineRule="auto"/>
        <w:ind w:firstLine="480" w:firstLineChars="200"/>
        <w:rPr>
          <w:rFonts w:ascii="宋体" w:hAnsi="宋体" w:cs="宋体"/>
          <w:sz w:val="24"/>
          <w:szCs w:val="24"/>
        </w:rPr>
      </w:pPr>
      <w:r>
        <w:rPr>
          <w:rFonts w:hint="eastAsia" w:ascii="宋体" w:hAnsi="宋体" w:cs="宋体"/>
          <w:sz w:val="24"/>
          <w:szCs w:val="24"/>
        </w:rPr>
        <w:t>3、一旦我方成交，我方将严格履行合同规定的责任和义务，保证于采购人要求的日期内完成项目的全部内容，并交付采购人验收、使用。</w:t>
      </w:r>
    </w:p>
    <w:p>
      <w:pPr>
        <w:spacing w:line="360" w:lineRule="auto"/>
        <w:ind w:firstLine="480" w:firstLineChars="200"/>
        <w:rPr>
          <w:rFonts w:ascii="宋体" w:hAnsi="宋体" w:cs="宋体"/>
          <w:sz w:val="24"/>
          <w:szCs w:val="24"/>
        </w:rPr>
      </w:pPr>
      <w:r>
        <w:rPr>
          <w:rFonts w:hint="eastAsia" w:ascii="宋体" w:hAnsi="宋体" w:cs="宋体"/>
          <w:sz w:val="24"/>
          <w:szCs w:val="24"/>
        </w:rPr>
        <w:t>4、如我公司成交，我公司承诺愿意按磋商文件规定缴纳履约保证金。</w:t>
      </w:r>
    </w:p>
    <w:p>
      <w:pPr>
        <w:tabs>
          <w:tab w:val="left" w:pos="840"/>
        </w:tabs>
        <w:spacing w:line="360" w:lineRule="auto"/>
        <w:ind w:firstLine="480" w:firstLineChars="200"/>
        <w:rPr>
          <w:rFonts w:ascii="宋体" w:hAnsi="宋体" w:cs="宋体"/>
          <w:sz w:val="24"/>
          <w:szCs w:val="24"/>
        </w:rPr>
      </w:pPr>
      <w:r>
        <w:rPr>
          <w:rFonts w:hint="eastAsia" w:ascii="宋体" w:hAnsi="宋体" w:cs="宋体"/>
          <w:sz w:val="24"/>
          <w:szCs w:val="24"/>
        </w:rPr>
        <w:t>5、我方愿意提供贵方可能另外要求的、与磋商有关的文件资料，并保证我方已提供和将要提供的文件是真实的、准确的。</w:t>
      </w:r>
    </w:p>
    <w:p>
      <w:pPr>
        <w:tabs>
          <w:tab w:val="left" w:pos="0"/>
          <w:tab w:val="left" w:pos="840"/>
        </w:tabs>
        <w:spacing w:line="360" w:lineRule="auto"/>
        <w:ind w:firstLine="480" w:firstLineChars="200"/>
        <w:rPr>
          <w:rFonts w:ascii="宋体" w:hAnsi="宋体" w:cs="宋体"/>
          <w:sz w:val="24"/>
          <w:szCs w:val="24"/>
        </w:rPr>
      </w:pPr>
      <w:r>
        <w:rPr>
          <w:rFonts w:hint="eastAsia" w:ascii="宋体" w:hAnsi="宋体" w:cs="宋体"/>
          <w:sz w:val="24"/>
          <w:szCs w:val="24"/>
        </w:rPr>
        <w:t>6、我方完全理解贵方不一定将合同授予最低报价的供应商。</w:t>
      </w:r>
    </w:p>
    <w:p>
      <w:pPr>
        <w:tabs>
          <w:tab w:val="left" w:pos="0"/>
          <w:tab w:val="left" w:pos="840"/>
        </w:tabs>
        <w:spacing w:line="360" w:lineRule="auto"/>
        <w:jc w:val="left"/>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spacing w:line="360" w:lineRule="auto"/>
        <w:ind w:firstLine="4245" w:firstLineChars="1762"/>
        <w:rPr>
          <w:rFonts w:ascii="宋体" w:hAnsi="宋体" w:cs="宋体"/>
          <w:b/>
          <w:bCs/>
          <w:sz w:val="24"/>
          <w:szCs w:val="24"/>
          <w:u w:val="single"/>
        </w:rPr>
      </w:pPr>
      <w:r>
        <w:rPr>
          <w:rFonts w:hint="eastAsia" w:ascii="宋体" w:hAnsi="宋体" w:cs="宋体"/>
          <w:b/>
          <w:bCs/>
          <w:sz w:val="24"/>
          <w:szCs w:val="24"/>
        </w:rPr>
        <w:t>供应商电子签章：</w:t>
      </w:r>
    </w:p>
    <w:p>
      <w:pPr>
        <w:tabs>
          <w:tab w:val="left" w:pos="630"/>
        </w:tabs>
        <w:spacing w:line="360" w:lineRule="auto"/>
        <w:ind w:firstLine="4245" w:firstLineChars="1762"/>
        <w:rPr>
          <w:rFonts w:ascii="宋体" w:hAnsi="宋体" w:cs="宋体"/>
          <w:b/>
          <w:bCs/>
          <w:sz w:val="24"/>
          <w:szCs w:val="24"/>
        </w:rPr>
      </w:pPr>
      <w:r>
        <w:rPr>
          <w:rFonts w:hint="eastAsia" w:ascii="宋体" w:hAnsi="宋体" w:cs="宋体"/>
          <w:b/>
          <w:bCs/>
          <w:sz w:val="24"/>
          <w:szCs w:val="24"/>
        </w:rPr>
        <w:t>日期：</w:t>
      </w:r>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bookmarkStart w:id="117" w:name="_Toc21593"/>
      <w:bookmarkStart w:id="118" w:name="_Toc16627"/>
      <w:bookmarkStart w:id="119" w:name="_Toc30354"/>
      <w:r>
        <w:rPr>
          <w:rFonts w:hint="eastAsia" w:ascii="宋体" w:hAnsi="宋体" w:eastAsia="宋体" w:cs="宋体"/>
          <w:sz w:val="24"/>
          <w:szCs w:val="24"/>
        </w:rPr>
        <w:t>附件</w:t>
      </w:r>
      <w:bookmarkEnd w:id="116"/>
      <w:r>
        <w:rPr>
          <w:rFonts w:hint="eastAsia" w:ascii="宋体" w:hAnsi="宋体" w:eastAsia="宋体" w:cs="宋体"/>
          <w:sz w:val="24"/>
          <w:szCs w:val="24"/>
        </w:rPr>
        <w:t>五</w:t>
      </w:r>
      <w:bookmarkEnd w:id="117"/>
      <w:bookmarkEnd w:id="118"/>
      <w:bookmarkEnd w:id="119"/>
    </w:p>
    <w:p>
      <w:pPr>
        <w:pStyle w:val="34"/>
        <w:ind w:firstLine="281"/>
        <w:rPr>
          <w:b/>
          <w:sz w:val="28"/>
          <w:szCs w:val="28"/>
        </w:rPr>
      </w:pPr>
      <w:bookmarkStart w:id="120" w:name="_Toc10256"/>
      <w:bookmarkStart w:id="121" w:name="_Toc26881"/>
      <w:bookmarkStart w:id="122" w:name="_Toc26949"/>
    </w:p>
    <w:p>
      <w:pPr>
        <w:pStyle w:val="34"/>
        <w:ind w:firstLine="2891" w:firstLineChars="1200"/>
        <w:rPr>
          <w:rFonts w:ascii="宋体" w:hAnsi="宋体" w:cs="宋体"/>
          <w:b/>
          <w:szCs w:val="24"/>
          <w:lang w:val="zh-CN"/>
        </w:rPr>
      </w:pPr>
      <w:bookmarkStart w:id="123" w:name="_Hlk77793942"/>
      <w:r>
        <w:rPr>
          <w:rFonts w:hint="eastAsia" w:ascii="宋体" w:hAnsi="宋体" w:cs="宋体"/>
          <w:b/>
          <w:szCs w:val="24"/>
          <w:lang w:val="zh-CN"/>
        </w:rPr>
        <w:t>无重大违法记录声明函</w:t>
      </w:r>
    </w:p>
    <w:p>
      <w:pPr>
        <w:pStyle w:val="34"/>
        <w:ind w:firstLine="480" w:firstLineChars="200"/>
        <w:rPr>
          <w:rFonts w:ascii="宋体" w:hAnsi="宋体"/>
          <w:szCs w:val="24"/>
        </w:rPr>
      </w:pPr>
      <w:bookmarkStart w:id="124"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供应商电子签章：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24"/>
    <w:p>
      <w:pPr>
        <w:pStyle w:val="34"/>
        <w:ind w:firstLine="210"/>
      </w:pPr>
    </w:p>
    <w:p>
      <w:pPr>
        <w:pStyle w:val="34"/>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125"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供应商电子签章：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日期：</w:t>
      </w:r>
      <w:bookmarkEnd w:id="120"/>
      <w:bookmarkEnd w:id="121"/>
      <w:bookmarkEnd w:id="122"/>
      <w:bookmarkEnd w:id="123"/>
      <w:bookmarkEnd w:id="125"/>
      <w:bookmarkStart w:id="126" w:name="_Toc363199274"/>
      <w:r>
        <w:rPr>
          <w:rFonts w:hint="eastAsia" w:ascii="宋体" w:hAnsi="宋体" w:cs="宋体"/>
          <w:sz w:val="24"/>
          <w:szCs w:val="24"/>
        </w:rPr>
        <w:br w:type="page"/>
      </w:r>
      <w:bookmarkStart w:id="127" w:name="_Toc20743"/>
      <w:bookmarkStart w:id="128" w:name="_Toc18709"/>
      <w:bookmarkStart w:id="129" w:name="_Toc17797"/>
      <w:r>
        <w:rPr>
          <w:rFonts w:hint="eastAsia" w:ascii="宋体" w:hAnsi="宋体" w:cs="宋体"/>
          <w:sz w:val="24"/>
          <w:szCs w:val="24"/>
        </w:rPr>
        <w:t>附件</w:t>
      </w:r>
      <w:bookmarkEnd w:id="126"/>
      <w:r>
        <w:rPr>
          <w:rFonts w:hint="eastAsia" w:ascii="宋体" w:hAnsi="宋体" w:cs="宋体"/>
          <w:sz w:val="24"/>
          <w:szCs w:val="24"/>
        </w:rPr>
        <w:t>六</w:t>
      </w:r>
      <w:bookmarkEnd w:id="127"/>
      <w:bookmarkEnd w:id="128"/>
      <w:bookmarkEnd w:id="129"/>
    </w:p>
    <w:p>
      <w:pPr>
        <w:pStyle w:val="4"/>
        <w:spacing w:before="0" w:after="0" w:line="560" w:lineRule="exact"/>
        <w:jc w:val="center"/>
        <w:rPr>
          <w:rFonts w:ascii="宋体" w:hAnsi="宋体" w:eastAsia="宋体" w:cs="宋体"/>
          <w:sz w:val="24"/>
          <w:szCs w:val="24"/>
          <w:lang w:val="zh-CN"/>
        </w:rPr>
      </w:pPr>
      <w:bookmarkStart w:id="130" w:name="_Toc30075"/>
      <w:bookmarkStart w:id="131" w:name="_Toc18402"/>
      <w:bookmarkStart w:id="132" w:name="_Toc25238"/>
      <w:r>
        <w:rPr>
          <w:rFonts w:hint="eastAsia" w:ascii="宋体" w:hAnsi="宋体" w:eastAsia="宋体" w:cs="宋体"/>
          <w:sz w:val="24"/>
          <w:szCs w:val="24"/>
          <w:lang w:val="zh-CN"/>
        </w:rPr>
        <w:t>响应情况表</w:t>
      </w:r>
      <w:bookmarkEnd w:id="130"/>
      <w:bookmarkEnd w:id="131"/>
      <w:bookmarkEnd w:id="132"/>
    </w:p>
    <w:p>
      <w:pPr>
        <w:jc w:val="center"/>
        <w:rPr>
          <w:rFonts w:ascii="宋体" w:hAnsi="宋体" w:cs="宋体"/>
          <w:bCs/>
          <w:sz w:val="24"/>
          <w:szCs w:val="24"/>
          <w:lang w:val="zh-CN"/>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宋体" w:hAnsi="宋体" w:cs="宋体"/>
                <w:b/>
                <w:sz w:val="24"/>
                <w:szCs w:val="21"/>
              </w:rPr>
            </w:pPr>
            <w:bookmarkStart w:id="133" w:name="_Toc471299110"/>
            <w:r>
              <w:rPr>
                <w:rFonts w:hint="eastAsia" w:ascii="宋体" w:hAnsi="宋体" w:cs="宋体"/>
                <w:b/>
                <w:sz w:val="24"/>
                <w:szCs w:val="21"/>
              </w:rPr>
              <w:t>按磋商文件规定填写</w:t>
            </w:r>
          </w:p>
        </w:tc>
        <w:tc>
          <w:tcPr>
            <w:tcW w:w="4200" w:type="dxa"/>
            <w:gridSpan w:val="2"/>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vAlign w:val="center"/>
          </w:tcPr>
          <w:p>
            <w:pPr>
              <w:jc w:val="center"/>
              <w:rPr>
                <w:rFonts w:ascii="宋体" w:hAnsi="宋体" w:cs="宋体"/>
                <w:b/>
                <w:sz w:val="24"/>
                <w:szCs w:val="21"/>
              </w:rPr>
            </w:pPr>
            <w:r>
              <w:rPr>
                <w:rFonts w:hint="eastAsia" w:ascii="宋体" w:hAnsi="宋体" w:cs="宋体"/>
                <w:b/>
                <w:sz w:val="24"/>
                <w:szCs w:val="21"/>
              </w:rPr>
              <w:t>磋商文件要求</w:t>
            </w:r>
          </w:p>
        </w:tc>
        <w:tc>
          <w:tcPr>
            <w:tcW w:w="2222" w:type="dxa"/>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794" w:type="dxa"/>
            <w:vAlign w:val="center"/>
          </w:tcPr>
          <w:p>
            <w:pPr>
              <w:jc w:val="center"/>
              <w:rPr>
                <w:rFonts w:ascii="宋体" w:hAnsi="宋体" w:cs="宋体"/>
                <w:sz w:val="24"/>
                <w:szCs w:val="24"/>
              </w:rPr>
            </w:pPr>
            <w:r>
              <w:rPr>
                <w:rFonts w:hint="eastAsia" w:ascii="宋体" w:hAnsi="宋体" w:cs="宋体"/>
                <w:sz w:val="24"/>
                <w:szCs w:val="28"/>
              </w:rPr>
              <w:t>技术响应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794" w:type="dxa"/>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794" w:type="dxa"/>
            <w:vAlign w:val="center"/>
          </w:tcPr>
          <w:p>
            <w:pPr>
              <w:jc w:val="center"/>
              <w:rPr>
                <w:rFonts w:ascii="宋体" w:hAnsi="宋体" w:cs="宋体"/>
                <w:sz w:val="24"/>
                <w:szCs w:val="24"/>
              </w:rPr>
            </w:pPr>
            <w:r>
              <w:rPr>
                <w:rFonts w:hint="eastAsia" w:ascii="宋体" w:hAnsi="宋体" w:cs="宋体"/>
                <w:sz w:val="24"/>
                <w:szCs w:val="28"/>
              </w:rPr>
              <w:t>服务期响应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794" w:type="dxa"/>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460" w:lineRule="exact"/>
        <w:rPr>
          <w:rFonts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供应商电子签章：</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spacing w:line="460" w:lineRule="exact"/>
        <w:rPr>
          <w:rFonts w:ascii="宋体" w:hAnsi="宋体" w:cs="宋体"/>
          <w:sz w:val="24"/>
          <w:szCs w:val="24"/>
        </w:rPr>
      </w:pPr>
    </w:p>
    <w:p>
      <w:pPr>
        <w:spacing w:line="500" w:lineRule="exact"/>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8"/>
        </w:rPr>
        <w:t>提供的服务满足采购需求；付款及服务期等均应响应磋商文件要求。</w:t>
      </w:r>
      <w:r>
        <w:rPr>
          <w:rFonts w:hint="eastAsia" w:ascii="宋体" w:hAnsi="宋体" w:cs="宋体"/>
          <w:bCs/>
          <w:sz w:val="24"/>
          <w:szCs w:val="24"/>
        </w:rPr>
        <w:br w:type="page"/>
      </w:r>
      <w:bookmarkStart w:id="134" w:name="_Toc29422"/>
      <w:bookmarkStart w:id="135" w:name="_Toc22037"/>
      <w:r>
        <w:rPr>
          <w:rStyle w:val="96"/>
          <w:rFonts w:hint="eastAsia" w:ascii="宋体" w:hAnsi="宋体" w:eastAsia="宋体" w:cs="宋体"/>
          <w:sz w:val="24"/>
          <w:szCs w:val="24"/>
        </w:rPr>
        <w:t>附件</w:t>
      </w:r>
      <w:bookmarkEnd w:id="133"/>
      <w:r>
        <w:rPr>
          <w:rStyle w:val="96"/>
          <w:rFonts w:hint="eastAsia" w:ascii="宋体" w:hAnsi="宋体" w:eastAsia="宋体" w:cs="宋体"/>
          <w:sz w:val="24"/>
          <w:szCs w:val="24"/>
        </w:rPr>
        <w:t>七</w:t>
      </w:r>
      <w:bookmarkEnd w:id="134"/>
      <w:bookmarkEnd w:id="135"/>
    </w:p>
    <w:p>
      <w:pPr>
        <w:pStyle w:val="4"/>
        <w:spacing w:before="0" w:after="0" w:line="560" w:lineRule="exact"/>
        <w:jc w:val="center"/>
        <w:rPr>
          <w:rFonts w:ascii="宋体" w:hAnsi="宋体" w:eastAsia="宋体" w:cs="宋体"/>
          <w:sz w:val="24"/>
          <w:szCs w:val="24"/>
        </w:rPr>
      </w:pPr>
      <w:bookmarkStart w:id="136" w:name="_Toc30527"/>
      <w:bookmarkStart w:id="137" w:name="_Toc1624"/>
      <w:bookmarkStart w:id="138" w:name="_Toc18625"/>
      <w:r>
        <w:rPr>
          <w:rFonts w:hint="eastAsia" w:ascii="宋体" w:hAnsi="宋体" w:eastAsia="宋体" w:cs="宋体"/>
          <w:sz w:val="24"/>
          <w:szCs w:val="24"/>
        </w:rPr>
        <w:t>相关服务承诺函</w:t>
      </w:r>
      <w:bookmarkEnd w:id="136"/>
      <w:bookmarkEnd w:id="137"/>
      <w:bookmarkEnd w:id="138"/>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rPr>
          <w:rFonts w:ascii="宋体" w:hAnsi="宋体" w:cs="宋体"/>
        </w:rPr>
      </w:pPr>
    </w:p>
    <w:p>
      <w:pPr>
        <w:rPr>
          <w:rFonts w:ascii="宋体" w:hAnsi="宋体" w:cs="宋体"/>
        </w:rPr>
      </w:pPr>
    </w:p>
    <w:p>
      <w:pPr>
        <w:rPr>
          <w:rFonts w:ascii="宋体" w:hAnsi="宋体" w:cs="宋体"/>
          <w:b/>
          <w:bCs/>
          <w:sz w:val="24"/>
          <w:szCs w:val="24"/>
        </w:rPr>
      </w:pPr>
      <w:bookmarkStart w:id="139" w:name="_Toc3177"/>
      <w:r>
        <w:rPr>
          <w:rFonts w:hint="eastAsia" w:ascii="宋体" w:hAnsi="宋体" w:eastAsia="宋体" w:cs="宋体"/>
          <w:sz w:val="24"/>
          <w:szCs w:val="24"/>
        </w:rPr>
        <w:br w:type="page"/>
      </w:r>
      <w:bookmarkEnd w:id="139"/>
    </w:p>
    <w:p>
      <w:pPr>
        <w:outlineLvl w:val="0"/>
        <w:rPr>
          <w:rStyle w:val="96"/>
          <w:rFonts w:hint="eastAsia" w:ascii="宋体" w:hAnsi="宋体" w:eastAsia="宋体" w:cs="宋体"/>
          <w:sz w:val="24"/>
          <w:szCs w:val="24"/>
          <w:lang w:eastAsia="zh-CN"/>
        </w:rPr>
      </w:pPr>
      <w:bookmarkStart w:id="140" w:name="_Toc2238"/>
      <w:bookmarkStart w:id="141" w:name="_Toc3162"/>
      <w:bookmarkStart w:id="142" w:name="_Toc7571"/>
      <w:r>
        <w:rPr>
          <w:rStyle w:val="96"/>
          <w:rFonts w:hint="eastAsia" w:ascii="宋体" w:hAnsi="宋体" w:eastAsia="宋体" w:cs="宋体"/>
          <w:sz w:val="24"/>
          <w:szCs w:val="24"/>
        </w:rPr>
        <w:t>附件</w:t>
      </w:r>
      <w:bookmarkEnd w:id="140"/>
      <w:bookmarkEnd w:id="141"/>
      <w:r>
        <w:rPr>
          <w:rStyle w:val="96"/>
          <w:rFonts w:hint="eastAsia" w:ascii="宋体" w:hAnsi="宋体" w:cs="宋体"/>
          <w:sz w:val="24"/>
          <w:szCs w:val="24"/>
          <w:lang w:val="en-US" w:eastAsia="zh-CN"/>
        </w:rPr>
        <w:t>八</w:t>
      </w:r>
    </w:p>
    <w:bookmarkEnd w:id="142"/>
    <w:p>
      <w:pPr>
        <w:spacing w:line="360" w:lineRule="auto"/>
        <w:rPr>
          <w:rFonts w:ascii="宋体" w:hAnsi="宋体" w:cs="宋体"/>
          <w:bCs/>
          <w:sz w:val="24"/>
          <w:szCs w:val="24"/>
        </w:rPr>
      </w:pPr>
      <w:bookmarkStart w:id="143" w:name="_Toc28850"/>
    </w:p>
    <w:p>
      <w:pPr>
        <w:spacing w:line="360" w:lineRule="auto"/>
        <w:jc w:val="center"/>
        <w:rPr>
          <w:rFonts w:ascii="宋体" w:hAnsi="宋体" w:cs="宋体"/>
          <w:bCs/>
          <w:sz w:val="24"/>
          <w:szCs w:val="24"/>
        </w:rPr>
      </w:pPr>
      <w:r>
        <w:rPr>
          <w:rFonts w:hint="eastAsia" w:ascii="宋体" w:hAnsi="宋体" w:cs="宋体"/>
          <w:bCs/>
          <w:sz w:val="24"/>
          <w:szCs w:val="24"/>
        </w:rPr>
        <w:t>磋商文件要求和供应商认为需要提供的其它说明和资料</w:t>
      </w:r>
      <w:bookmarkEnd w:id="143"/>
    </w:p>
    <w:p>
      <w:pPr>
        <w:rPr>
          <w:rFonts w:ascii="宋体" w:hAnsi="宋体" w:cs="宋体"/>
          <w:bCs/>
          <w:sz w:val="24"/>
          <w:szCs w:val="24"/>
        </w:rPr>
      </w:pPr>
      <w:r>
        <w:rPr>
          <w:rFonts w:hint="eastAsia" w:ascii="宋体" w:hAnsi="宋体" w:cs="宋体"/>
          <w:bCs/>
          <w:sz w:val="24"/>
          <w:szCs w:val="24"/>
        </w:rPr>
        <w:br w:type="page"/>
      </w:r>
    </w:p>
    <w:p>
      <w:pPr>
        <w:pStyle w:val="4"/>
        <w:spacing w:before="0" w:after="0" w:line="560" w:lineRule="exact"/>
        <w:rPr>
          <w:rFonts w:hint="default" w:ascii="宋体" w:hAnsi="宋体" w:eastAsia="宋体" w:cs="宋体"/>
          <w:sz w:val="24"/>
          <w:szCs w:val="24"/>
          <w:lang w:val="en-US" w:eastAsia="zh-CN"/>
        </w:rPr>
      </w:pPr>
      <w:bookmarkStart w:id="144" w:name="_Toc9853"/>
      <w:r>
        <w:rPr>
          <w:rFonts w:hint="eastAsia" w:ascii="宋体" w:hAnsi="宋体" w:eastAsia="宋体" w:cs="宋体"/>
          <w:sz w:val="24"/>
          <w:szCs w:val="24"/>
        </w:rPr>
        <w:t>附件</w:t>
      </w:r>
      <w:bookmarkEnd w:id="144"/>
      <w:r>
        <w:rPr>
          <w:rFonts w:hint="eastAsia" w:ascii="宋体" w:hAnsi="宋体" w:eastAsia="宋体" w:cs="宋体"/>
          <w:sz w:val="24"/>
          <w:szCs w:val="24"/>
          <w:lang w:val="en-US" w:eastAsia="zh-CN"/>
        </w:rPr>
        <w:t>九</w:t>
      </w:r>
    </w:p>
    <w:p/>
    <w:p>
      <w:pPr>
        <w:pStyle w:val="4"/>
        <w:spacing w:before="0" w:after="0" w:line="560" w:lineRule="exact"/>
        <w:jc w:val="center"/>
        <w:rPr>
          <w:rFonts w:ascii="宋体" w:hAnsi="宋体" w:eastAsia="宋体" w:cs="宋体"/>
          <w:b w:val="0"/>
          <w:bCs/>
          <w:sz w:val="24"/>
          <w:szCs w:val="24"/>
        </w:rPr>
      </w:pPr>
      <w:bookmarkStart w:id="145" w:name="_Toc2604"/>
      <w:r>
        <w:rPr>
          <w:rFonts w:hint="eastAsia" w:ascii="宋体" w:hAnsi="宋体" w:eastAsia="宋体" w:cs="宋体"/>
          <w:b w:val="0"/>
          <w:bCs/>
          <w:sz w:val="24"/>
          <w:szCs w:val="24"/>
        </w:rPr>
        <w:t>磋商文件要求和供应商认为需要提供的其它说明和资料</w:t>
      </w:r>
      <w:bookmarkEnd w:id="145"/>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6"/>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磋商</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磋商</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磋商</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磋商</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w:t>
      </w:r>
      <w:r>
        <w:rPr>
          <w:rFonts w:hint="eastAsia" w:asciiTheme="minorEastAsia" w:hAnsiTheme="minorEastAsia" w:eastAsiaTheme="minorEastAsia" w:cstheme="minorEastAsia"/>
          <w:b/>
          <w:bCs/>
          <w:sz w:val="24"/>
          <w:szCs w:val="22"/>
          <w:lang w:val="en-US" w:eastAsia="zh-CN"/>
        </w:rPr>
        <w:t>货物</w:t>
      </w:r>
      <w:r>
        <w:rPr>
          <w:rFonts w:hint="eastAsia" w:asciiTheme="minorEastAsia" w:hAnsiTheme="minorEastAsia" w:eastAsiaTheme="minorEastAsia" w:cstheme="minorEastAsia"/>
          <w:b/>
          <w:bCs/>
          <w:sz w:val="24"/>
          <w:szCs w:val="22"/>
          <w:lang w:val="zh-CN" w:eastAsia="zh-CN"/>
        </w:rPr>
        <w:t>或服务的优惠浮动值（特定分项优惠除外）。此优惠率调整原则适用于合同内价格的计算及项目增减、变更时价格的计算。</w:t>
      </w:r>
    </w:p>
    <w:p>
      <w:pPr>
        <w:pStyle w:val="35"/>
        <w:numPr>
          <w:ilvl w:val="0"/>
          <w:numId w:val="5"/>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w:t>
      </w:r>
      <w:r>
        <w:rPr>
          <w:rFonts w:hint="eastAsia" w:ascii="宋体" w:hAnsi="宋体" w:eastAsia="宋体" w:cs="宋体"/>
          <w:b/>
          <w:color w:val="FF0000"/>
          <w:sz w:val="24"/>
          <w:szCs w:val="24"/>
          <w:highlight w:val="none"/>
          <w:lang w:eastAsia="zh-CN"/>
        </w:rPr>
        <w:t>磋商</w:t>
      </w:r>
      <w:r>
        <w:rPr>
          <w:rFonts w:hint="eastAsia" w:ascii="宋体" w:hAnsi="宋体" w:eastAsia="宋体" w:cs="宋体"/>
          <w:b/>
          <w:color w:val="FF0000"/>
          <w:sz w:val="24"/>
          <w:szCs w:val="24"/>
          <w:highlight w:val="none"/>
        </w:rPr>
        <w:t>现场依</w:t>
      </w:r>
      <w:r>
        <w:rPr>
          <w:rFonts w:hint="eastAsia" w:ascii="宋体" w:hAnsi="宋体" w:eastAsia="宋体" w:cs="宋体"/>
          <w:b/>
          <w:color w:val="FF0000"/>
          <w:sz w:val="24"/>
          <w:szCs w:val="24"/>
          <w:highlight w:val="none"/>
          <w:lang w:eastAsia="zh-CN"/>
        </w:rPr>
        <w:t>磋商</w:t>
      </w:r>
      <w:r>
        <w:rPr>
          <w:rFonts w:hint="eastAsia" w:ascii="宋体" w:hAnsi="宋体" w:eastAsia="宋体" w:cs="宋体"/>
          <w:b/>
          <w:color w:val="FF0000"/>
          <w:sz w:val="24"/>
          <w:szCs w:val="24"/>
          <w:highlight w:val="none"/>
        </w:rPr>
        <w:t>情况填写（勿需装订在</w:t>
      </w:r>
      <w:r>
        <w:rPr>
          <w:rFonts w:hint="eastAsia" w:ascii="宋体" w:hAnsi="宋体" w:eastAsia="宋体" w:cs="宋体"/>
          <w:b/>
          <w:color w:val="FF0000"/>
          <w:sz w:val="24"/>
          <w:szCs w:val="24"/>
          <w:highlight w:val="none"/>
          <w:lang w:eastAsia="zh-CN"/>
        </w:rPr>
        <w:t>磋商</w:t>
      </w:r>
      <w:r>
        <w:rPr>
          <w:rFonts w:hint="eastAsia" w:ascii="宋体" w:hAnsi="宋体" w:eastAsia="宋体" w:cs="宋体"/>
          <w:b/>
          <w:color w:val="FF0000"/>
          <w:sz w:val="24"/>
          <w:szCs w:val="24"/>
          <w:highlight w:val="none"/>
        </w:rPr>
        <w:t>文件内）</w:t>
      </w:r>
      <w:r>
        <w:rPr>
          <w:rFonts w:hint="eastAsia" w:ascii="宋体" w:hAnsi="宋体" w:eastAsia="宋体" w:cs="宋体"/>
          <w:b/>
          <w:color w:val="FF0000"/>
          <w:sz w:val="24"/>
          <w:szCs w:val="24"/>
          <w:highlight w:val="none"/>
          <w:lang w:val="en-US" w:eastAsia="zh-CN"/>
        </w:rPr>
        <w:t>。</w:t>
      </w:r>
    </w:p>
    <w:p>
      <w:pPr>
        <w:pStyle w:val="34"/>
        <w:rPr>
          <w:rFonts w:hint="eastAsia" w:ascii="宋体" w:hAnsi="宋体" w:eastAsia="宋体"/>
          <w:b/>
          <w:szCs w:val="28"/>
          <w:lang w:val="en-US" w:eastAsia="zh-CN"/>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45</w:t>
    </w:r>
    <w:r>
      <w:rPr>
        <w:rStyle w:val="40"/>
      </w:rP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tabs>
        <w:tab w:val="left" w:pos="8460"/>
        <w:tab w:val="left" w:pos="9180"/>
        <w:tab w:val="clear" w:pos="4153"/>
        <w:tab w:val="clear" w:pos="8306"/>
      </w:tabs>
      <w:ind w:right="360"/>
    </w:pPr>
    <w:r>
      <w:rPr>
        <w:rFonts w:hint="eastAsia"/>
      </w:rPr>
      <w:t>六安市政府采购竞争性磋商文件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pPr>
      <w:pStyle w:val="2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6AFB53"/>
    <w:multiLevelType w:val="singleLevel"/>
    <w:tmpl w:val="606AFB53"/>
    <w:lvl w:ilvl="0" w:tentative="0">
      <w:start w:val="2"/>
      <w:numFmt w:val="decimal"/>
      <w:suff w:val="nothing"/>
      <w:lvlText w:val="%1、"/>
      <w:lvlJc w:val="left"/>
    </w:lvl>
  </w:abstractNum>
  <w:abstractNum w:abstractNumId="4">
    <w:nsid w:val="7740CD31"/>
    <w:multiLevelType w:val="singleLevel"/>
    <w:tmpl w:val="7740CD31"/>
    <w:lvl w:ilvl="0" w:tentative="0">
      <w:start w:val="2"/>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OTY5MjZmODlkMWMxMGE4ZTI3YTBjZjVlNGRhZDcifQ=="/>
    <w:docVar w:name="KSO_WPS_MARK_KEY" w:val="ce6d4460-f602-4ac3-ba4d-6b70736f49d6"/>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355"/>
    <w:rsid w:val="00146D70"/>
    <w:rsid w:val="00156254"/>
    <w:rsid w:val="001723C8"/>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3E11"/>
    <w:rsid w:val="002D508E"/>
    <w:rsid w:val="002D53B9"/>
    <w:rsid w:val="002D677B"/>
    <w:rsid w:val="002E54B3"/>
    <w:rsid w:val="002F5374"/>
    <w:rsid w:val="002F5CAB"/>
    <w:rsid w:val="00314F50"/>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F279A"/>
    <w:rsid w:val="0050472D"/>
    <w:rsid w:val="005236AE"/>
    <w:rsid w:val="00524A87"/>
    <w:rsid w:val="00533AAE"/>
    <w:rsid w:val="00554CE3"/>
    <w:rsid w:val="005710D8"/>
    <w:rsid w:val="005A03E4"/>
    <w:rsid w:val="005B04B8"/>
    <w:rsid w:val="005E38A4"/>
    <w:rsid w:val="005E56CC"/>
    <w:rsid w:val="005E754A"/>
    <w:rsid w:val="00654D2C"/>
    <w:rsid w:val="00661562"/>
    <w:rsid w:val="00682117"/>
    <w:rsid w:val="0068795B"/>
    <w:rsid w:val="00695280"/>
    <w:rsid w:val="006B21E7"/>
    <w:rsid w:val="006D3DB9"/>
    <w:rsid w:val="006F01D1"/>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2C26"/>
    <w:rsid w:val="007F3323"/>
    <w:rsid w:val="007F72E0"/>
    <w:rsid w:val="00802679"/>
    <w:rsid w:val="00810784"/>
    <w:rsid w:val="00821EE8"/>
    <w:rsid w:val="008448CD"/>
    <w:rsid w:val="0086536B"/>
    <w:rsid w:val="0089296C"/>
    <w:rsid w:val="008A6D3D"/>
    <w:rsid w:val="008B0E3B"/>
    <w:rsid w:val="008C0ED2"/>
    <w:rsid w:val="008D216E"/>
    <w:rsid w:val="008D283D"/>
    <w:rsid w:val="008E0D41"/>
    <w:rsid w:val="00922A63"/>
    <w:rsid w:val="00925990"/>
    <w:rsid w:val="00940C0D"/>
    <w:rsid w:val="00942328"/>
    <w:rsid w:val="0094320A"/>
    <w:rsid w:val="009628D2"/>
    <w:rsid w:val="00964C0F"/>
    <w:rsid w:val="0097577C"/>
    <w:rsid w:val="00980525"/>
    <w:rsid w:val="009B5EF1"/>
    <w:rsid w:val="009D0332"/>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21075"/>
    <w:rsid w:val="00B27CFD"/>
    <w:rsid w:val="00B4726F"/>
    <w:rsid w:val="00B57818"/>
    <w:rsid w:val="00B578EB"/>
    <w:rsid w:val="00B7616C"/>
    <w:rsid w:val="00B80346"/>
    <w:rsid w:val="00BA10A8"/>
    <w:rsid w:val="00BA136D"/>
    <w:rsid w:val="00BA3764"/>
    <w:rsid w:val="00BB63DF"/>
    <w:rsid w:val="00BB7605"/>
    <w:rsid w:val="00BC2739"/>
    <w:rsid w:val="00BC5045"/>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E1386"/>
    <w:rsid w:val="00CE28E9"/>
    <w:rsid w:val="00CE3BB4"/>
    <w:rsid w:val="00CF10C1"/>
    <w:rsid w:val="00CF3743"/>
    <w:rsid w:val="00D027C9"/>
    <w:rsid w:val="00D13AEE"/>
    <w:rsid w:val="00D16453"/>
    <w:rsid w:val="00D175FB"/>
    <w:rsid w:val="00D2401D"/>
    <w:rsid w:val="00D33ECF"/>
    <w:rsid w:val="00D429C1"/>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7E1B19"/>
    <w:rsid w:val="01ED3B47"/>
    <w:rsid w:val="03062E20"/>
    <w:rsid w:val="03B22505"/>
    <w:rsid w:val="04067181"/>
    <w:rsid w:val="04103CCA"/>
    <w:rsid w:val="04EE7346"/>
    <w:rsid w:val="05045387"/>
    <w:rsid w:val="05104E6D"/>
    <w:rsid w:val="05ED76CD"/>
    <w:rsid w:val="06262FF6"/>
    <w:rsid w:val="07267565"/>
    <w:rsid w:val="078C18B4"/>
    <w:rsid w:val="07A20F5E"/>
    <w:rsid w:val="080B49C0"/>
    <w:rsid w:val="08531B86"/>
    <w:rsid w:val="0861256E"/>
    <w:rsid w:val="08F92B17"/>
    <w:rsid w:val="095F7F4C"/>
    <w:rsid w:val="09A60123"/>
    <w:rsid w:val="09AE75F4"/>
    <w:rsid w:val="09B95F2A"/>
    <w:rsid w:val="0A0C7574"/>
    <w:rsid w:val="0A424E4D"/>
    <w:rsid w:val="0AF82AC1"/>
    <w:rsid w:val="0B66533A"/>
    <w:rsid w:val="0B84414D"/>
    <w:rsid w:val="0BD46BAD"/>
    <w:rsid w:val="0BE120B2"/>
    <w:rsid w:val="0CEC43CA"/>
    <w:rsid w:val="0D50431A"/>
    <w:rsid w:val="0DF624E0"/>
    <w:rsid w:val="0E346850"/>
    <w:rsid w:val="0E404088"/>
    <w:rsid w:val="0EA113FA"/>
    <w:rsid w:val="0ECA11CC"/>
    <w:rsid w:val="0F390E8E"/>
    <w:rsid w:val="0F8F57EF"/>
    <w:rsid w:val="0FC465FA"/>
    <w:rsid w:val="0FF97625"/>
    <w:rsid w:val="1018304A"/>
    <w:rsid w:val="110475FD"/>
    <w:rsid w:val="119066D9"/>
    <w:rsid w:val="11914CF4"/>
    <w:rsid w:val="11A335B5"/>
    <w:rsid w:val="1219428E"/>
    <w:rsid w:val="13490C7D"/>
    <w:rsid w:val="135C3D02"/>
    <w:rsid w:val="13AD3D10"/>
    <w:rsid w:val="13D52CCE"/>
    <w:rsid w:val="14E27C21"/>
    <w:rsid w:val="153B2049"/>
    <w:rsid w:val="15614DA8"/>
    <w:rsid w:val="15AD79BC"/>
    <w:rsid w:val="16066864"/>
    <w:rsid w:val="16991EF7"/>
    <w:rsid w:val="173850A7"/>
    <w:rsid w:val="174C0AC9"/>
    <w:rsid w:val="177B4CDC"/>
    <w:rsid w:val="17BA7FA6"/>
    <w:rsid w:val="18FD74C3"/>
    <w:rsid w:val="192B2CC7"/>
    <w:rsid w:val="198B1495"/>
    <w:rsid w:val="1A6C248D"/>
    <w:rsid w:val="1AF45622"/>
    <w:rsid w:val="1B5A7D5C"/>
    <w:rsid w:val="1B7B26E1"/>
    <w:rsid w:val="1BBFA30C"/>
    <w:rsid w:val="1C1A0C17"/>
    <w:rsid w:val="1C32741A"/>
    <w:rsid w:val="1C405AE5"/>
    <w:rsid w:val="1D960483"/>
    <w:rsid w:val="1DF15284"/>
    <w:rsid w:val="1F171CFB"/>
    <w:rsid w:val="1F3C13B6"/>
    <w:rsid w:val="1F4B49D6"/>
    <w:rsid w:val="1FF85069"/>
    <w:rsid w:val="20F41885"/>
    <w:rsid w:val="21201A9A"/>
    <w:rsid w:val="212611D2"/>
    <w:rsid w:val="21993B18"/>
    <w:rsid w:val="219959F5"/>
    <w:rsid w:val="22464B8D"/>
    <w:rsid w:val="229A201B"/>
    <w:rsid w:val="233F1DB4"/>
    <w:rsid w:val="239974D6"/>
    <w:rsid w:val="23E266D0"/>
    <w:rsid w:val="23E4618A"/>
    <w:rsid w:val="244E3D8C"/>
    <w:rsid w:val="24B335CE"/>
    <w:rsid w:val="24F11BE1"/>
    <w:rsid w:val="25EF0E4B"/>
    <w:rsid w:val="269C26E3"/>
    <w:rsid w:val="27110C4C"/>
    <w:rsid w:val="272E2D63"/>
    <w:rsid w:val="27410CB9"/>
    <w:rsid w:val="276D441A"/>
    <w:rsid w:val="27C22545"/>
    <w:rsid w:val="2861396F"/>
    <w:rsid w:val="28B44010"/>
    <w:rsid w:val="29384EA8"/>
    <w:rsid w:val="29CC520E"/>
    <w:rsid w:val="29E26463"/>
    <w:rsid w:val="2A023B5C"/>
    <w:rsid w:val="2A07065D"/>
    <w:rsid w:val="2A0A08C3"/>
    <w:rsid w:val="2A534564"/>
    <w:rsid w:val="2A573A70"/>
    <w:rsid w:val="2CBD48CE"/>
    <w:rsid w:val="2CE211B2"/>
    <w:rsid w:val="2E015B36"/>
    <w:rsid w:val="2E275F81"/>
    <w:rsid w:val="2E4E51C2"/>
    <w:rsid w:val="2E77681E"/>
    <w:rsid w:val="2EEB32CC"/>
    <w:rsid w:val="2F4B2B19"/>
    <w:rsid w:val="2F6246CC"/>
    <w:rsid w:val="2FC53683"/>
    <w:rsid w:val="2FE97A5F"/>
    <w:rsid w:val="305A47DE"/>
    <w:rsid w:val="309E348C"/>
    <w:rsid w:val="31394322"/>
    <w:rsid w:val="3184082E"/>
    <w:rsid w:val="32617B06"/>
    <w:rsid w:val="328304A8"/>
    <w:rsid w:val="32BC5F4D"/>
    <w:rsid w:val="33393656"/>
    <w:rsid w:val="337C1CD3"/>
    <w:rsid w:val="33C11B6F"/>
    <w:rsid w:val="33FE364D"/>
    <w:rsid w:val="3429115A"/>
    <w:rsid w:val="34325CD9"/>
    <w:rsid w:val="34341A05"/>
    <w:rsid w:val="346113B3"/>
    <w:rsid w:val="34F2580B"/>
    <w:rsid w:val="36024564"/>
    <w:rsid w:val="361055A4"/>
    <w:rsid w:val="36276335"/>
    <w:rsid w:val="36767C0B"/>
    <w:rsid w:val="36981B5D"/>
    <w:rsid w:val="36A9634B"/>
    <w:rsid w:val="36D079C8"/>
    <w:rsid w:val="37D716E7"/>
    <w:rsid w:val="390A4CE0"/>
    <w:rsid w:val="39A552A4"/>
    <w:rsid w:val="39D761EF"/>
    <w:rsid w:val="3A6E5FBC"/>
    <w:rsid w:val="3A76410D"/>
    <w:rsid w:val="3A8F3EBA"/>
    <w:rsid w:val="3AB10259"/>
    <w:rsid w:val="3ABA6222"/>
    <w:rsid w:val="3B301F44"/>
    <w:rsid w:val="3B821232"/>
    <w:rsid w:val="3BAE4829"/>
    <w:rsid w:val="3BDF73C5"/>
    <w:rsid w:val="3D7C4A02"/>
    <w:rsid w:val="3D902D22"/>
    <w:rsid w:val="3DF4021A"/>
    <w:rsid w:val="3E047963"/>
    <w:rsid w:val="3E8E5BBA"/>
    <w:rsid w:val="3EB86069"/>
    <w:rsid w:val="3EDC10FF"/>
    <w:rsid w:val="3F0A5E23"/>
    <w:rsid w:val="3F346D45"/>
    <w:rsid w:val="3F785608"/>
    <w:rsid w:val="3FFF20F3"/>
    <w:rsid w:val="402734A4"/>
    <w:rsid w:val="405A4873"/>
    <w:rsid w:val="405C30EF"/>
    <w:rsid w:val="407B3EBF"/>
    <w:rsid w:val="40DF693D"/>
    <w:rsid w:val="40F16A8E"/>
    <w:rsid w:val="412545BE"/>
    <w:rsid w:val="4184340D"/>
    <w:rsid w:val="41E21275"/>
    <w:rsid w:val="42D67AEC"/>
    <w:rsid w:val="42F6152E"/>
    <w:rsid w:val="42FF6CFF"/>
    <w:rsid w:val="43771108"/>
    <w:rsid w:val="438C4E1A"/>
    <w:rsid w:val="4440126D"/>
    <w:rsid w:val="445F7604"/>
    <w:rsid w:val="446523D2"/>
    <w:rsid w:val="44DA0696"/>
    <w:rsid w:val="44E45943"/>
    <w:rsid w:val="44E80BF1"/>
    <w:rsid w:val="4583380E"/>
    <w:rsid w:val="45993146"/>
    <w:rsid w:val="45EB3538"/>
    <w:rsid w:val="46440499"/>
    <w:rsid w:val="46771AC0"/>
    <w:rsid w:val="47867C8A"/>
    <w:rsid w:val="47954A4A"/>
    <w:rsid w:val="479B001B"/>
    <w:rsid w:val="47D21CE6"/>
    <w:rsid w:val="47E5272B"/>
    <w:rsid w:val="481456B4"/>
    <w:rsid w:val="48876507"/>
    <w:rsid w:val="48A14890"/>
    <w:rsid w:val="4A4C0CEF"/>
    <w:rsid w:val="4A67403B"/>
    <w:rsid w:val="4A734E79"/>
    <w:rsid w:val="4AD27698"/>
    <w:rsid w:val="4B1B114F"/>
    <w:rsid w:val="4B250368"/>
    <w:rsid w:val="4B7A75FA"/>
    <w:rsid w:val="4B7B52E3"/>
    <w:rsid w:val="4B7F6C9B"/>
    <w:rsid w:val="4BB01238"/>
    <w:rsid w:val="4BF93ABC"/>
    <w:rsid w:val="4C220EBD"/>
    <w:rsid w:val="4C2F1AF1"/>
    <w:rsid w:val="4C3F1A69"/>
    <w:rsid w:val="4C4C7D4D"/>
    <w:rsid w:val="4C692E82"/>
    <w:rsid w:val="4C974380"/>
    <w:rsid w:val="4CA7336B"/>
    <w:rsid w:val="4D001539"/>
    <w:rsid w:val="4D060FF1"/>
    <w:rsid w:val="4D5B5816"/>
    <w:rsid w:val="4D6138EC"/>
    <w:rsid w:val="4D714797"/>
    <w:rsid w:val="4D7809BA"/>
    <w:rsid w:val="4D820C8A"/>
    <w:rsid w:val="4D9F0EEA"/>
    <w:rsid w:val="4F095D32"/>
    <w:rsid w:val="4F1A4882"/>
    <w:rsid w:val="4F3C4DEC"/>
    <w:rsid w:val="4F6D0EC1"/>
    <w:rsid w:val="504900D3"/>
    <w:rsid w:val="52892F5B"/>
    <w:rsid w:val="52F61709"/>
    <w:rsid w:val="54073585"/>
    <w:rsid w:val="54995B0C"/>
    <w:rsid w:val="54DB7C79"/>
    <w:rsid w:val="54E74E26"/>
    <w:rsid w:val="55580A4D"/>
    <w:rsid w:val="55B45B96"/>
    <w:rsid w:val="55C3622E"/>
    <w:rsid w:val="55DC1770"/>
    <w:rsid w:val="55EB22AC"/>
    <w:rsid w:val="561133F2"/>
    <w:rsid w:val="56571FFA"/>
    <w:rsid w:val="56A92CC7"/>
    <w:rsid w:val="58BD10F2"/>
    <w:rsid w:val="58CD33C2"/>
    <w:rsid w:val="596469D4"/>
    <w:rsid w:val="5A435D8A"/>
    <w:rsid w:val="5B0CF2D3"/>
    <w:rsid w:val="5B7B30F8"/>
    <w:rsid w:val="5BBC1D09"/>
    <w:rsid w:val="5C34380B"/>
    <w:rsid w:val="5CFC6999"/>
    <w:rsid w:val="5F912AC4"/>
    <w:rsid w:val="5FD14724"/>
    <w:rsid w:val="60387705"/>
    <w:rsid w:val="60700F30"/>
    <w:rsid w:val="607B7DDA"/>
    <w:rsid w:val="61A76748"/>
    <w:rsid w:val="62B731FE"/>
    <w:rsid w:val="63023C80"/>
    <w:rsid w:val="636D3AA1"/>
    <w:rsid w:val="64F22548"/>
    <w:rsid w:val="656062CA"/>
    <w:rsid w:val="659106E2"/>
    <w:rsid w:val="65AB236D"/>
    <w:rsid w:val="65B8080F"/>
    <w:rsid w:val="66483EC5"/>
    <w:rsid w:val="66704DB4"/>
    <w:rsid w:val="66FF3B3B"/>
    <w:rsid w:val="67102453"/>
    <w:rsid w:val="68A67F29"/>
    <w:rsid w:val="68C15CCA"/>
    <w:rsid w:val="692D45F0"/>
    <w:rsid w:val="697D619C"/>
    <w:rsid w:val="69992F6F"/>
    <w:rsid w:val="69EE3D79"/>
    <w:rsid w:val="6A0E091D"/>
    <w:rsid w:val="6ABA50AD"/>
    <w:rsid w:val="6B58725B"/>
    <w:rsid w:val="6BA94127"/>
    <w:rsid w:val="6BFE46EA"/>
    <w:rsid w:val="6C7F53F2"/>
    <w:rsid w:val="6C8B20CC"/>
    <w:rsid w:val="6C95A85E"/>
    <w:rsid w:val="6F053873"/>
    <w:rsid w:val="6F1ECFF8"/>
    <w:rsid w:val="704217E5"/>
    <w:rsid w:val="71106C43"/>
    <w:rsid w:val="71152000"/>
    <w:rsid w:val="721756F7"/>
    <w:rsid w:val="7231680E"/>
    <w:rsid w:val="72896870"/>
    <w:rsid w:val="73DD78E9"/>
    <w:rsid w:val="750872E0"/>
    <w:rsid w:val="7656661E"/>
    <w:rsid w:val="76ED37EF"/>
    <w:rsid w:val="770F21D1"/>
    <w:rsid w:val="77EF4493"/>
    <w:rsid w:val="78321B4E"/>
    <w:rsid w:val="78A7019A"/>
    <w:rsid w:val="78C06712"/>
    <w:rsid w:val="796B51A8"/>
    <w:rsid w:val="797D526C"/>
    <w:rsid w:val="79BA3B0E"/>
    <w:rsid w:val="7ABB6962"/>
    <w:rsid w:val="7AF4539C"/>
    <w:rsid w:val="7C013D85"/>
    <w:rsid w:val="7C2F8C70"/>
    <w:rsid w:val="7C662C4B"/>
    <w:rsid w:val="7CF35D84"/>
    <w:rsid w:val="7DB40A20"/>
    <w:rsid w:val="7DDF36B2"/>
    <w:rsid w:val="7E136A50"/>
    <w:rsid w:val="7E49765A"/>
    <w:rsid w:val="7E4C0FEB"/>
    <w:rsid w:val="7EBB50F1"/>
    <w:rsid w:val="7EBE0C5A"/>
    <w:rsid w:val="7EE56270"/>
    <w:rsid w:val="7EFB3C47"/>
    <w:rsid w:val="7F7F569C"/>
    <w:rsid w:val="7F7F68A4"/>
    <w:rsid w:val="7F850ECB"/>
    <w:rsid w:val="7F9F1736"/>
    <w:rsid w:val="7FD12D74"/>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6"/>
    <w:qFormat/>
    <w:uiPriority w:val="0"/>
    <w:pPr>
      <w:keepNext/>
      <w:outlineLvl w:val="0"/>
    </w:pPr>
    <w:rPr>
      <w:sz w:val="28"/>
      <w:szCs w:val="24"/>
    </w:rPr>
  </w:style>
  <w:style w:type="paragraph" w:styleId="4">
    <w:name w:val="heading 2"/>
    <w:basedOn w:val="1"/>
    <w:next w:val="1"/>
    <w:link w:val="96"/>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8"/>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49"/>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7">
    <w:name w:val="toc 7"/>
    <w:basedOn w:val="1"/>
    <w:next w:val="1"/>
    <w:qFormat/>
    <w:uiPriority w:val="0"/>
    <w:pPr>
      <w:ind w:left="2520" w:leftChars="1200"/>
    </w:pPr>
  </w:style>
  <w:style w:type="paragraph" w:styleId="8">
    <w:name w:val="Document Map"/>
    <w:basedOn w:val="1"/>
    <w:link w:val="73"/>
    <w:qFormat/>
    <w:uiPriority w:val="0"/>
    <w:pPr>
      <w:shd w:val="clear" w:color="auto" w:fill="000080"/>
    </w:pPr>
  </w:style>
  <w:style w:type="paragraph" w:styleId="9">
    <w:name w:val="annotation text"/>
    <w:basedOn w:val="1"/>
    <w:link w:val="67"/>
    <w:semiHidden/>
    <w:qFormat/>
    <w:uiPriority w:val="99"/>
    <w:pPr>
      <w:jc w:val="left"/>
    </w:pPr>
  </w:style>
  <w:style w:type="paragraph" w:styleId="10">
    <w:name w:val="Body Text 3"/>
    <w:basedOn w:val="1"/>
    <w:link w:val="88"/>
    <w:unhideWhenUsed/>
    <w:qFormat/>
    <w:uiPriority w:val="99"/>
    <w:pPr>
      <w:spacing w:after="120"/>
    </w:pPr>
    <w:rPr>
      <w:rFonts w:ascii="Calibri" w:hAnsi="Calibri"/>
      <w:sz w:val="16"/>
      <w:szCs w:val="16"/>
      <w:lang w:val="zh-CN"/>
    </w:rPr>
  </w:style>
  <w:style w:type="paragraph" w:styleId="11">
    <w:name w:val="Body Text"/>
    <w:basedOn w:val="1"/>
    <w:next w:val="12"/>
    <w:link w:val="62"/>
    <w:qFormat/>
    <w:uiPriority w:val="0"/>
    <w:pPr>
      <w:spacing w:after="120"/>
    </w:pPr>
    <w:rPr>
      <w:szCs w:val="24"/>
    </w:rPr>
  </w:style>
  <w:style w:type="paragraph" w:customStyle="1" w:styleId="12">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13">
    <w:name w:val="Body Text Indent"/>
    <w:basedOn w:val="1"/>
    <w:next w:val="14"/>
    <w:link w:val="51"/>
    <w:qFormat/>
    <w:uiPriority w:val="0"/>
    <w:pPr>
      <w:ind w:firstLine="540"/>
    </w:pPr>
    <w:rPr>
      <w:rFonts w:eastAsia="仿宋_GB2312"/>
      <w:sz w:val="28"/>
    </w:rPr>
  </w:style>
  <w:style w:type="paragraph" w:styleId="14">
    <w:name w:val="envelope return"/>
    <w:basedOn w:val="1"/>
    <w:qFormat/>
    <w:uiPriority w:val="0"/>
    <w:pPr>
      <w:snapToGrid w:val="0"/>
    </w:pPr>
    <w:rPr>
      <w:rFonts w:ascii="Arial" w:hAnsi="Arial"/>
    </w:rPr>
  </w:style>
  <w:style w:type="paragraph" w:styleId="15">
    <w:name w:val="toc 5"/>
    <w:basedOn w:val="1"/>
    <w:next w:val="1"/>
    <w:qFormat/>
    <w:uiPriority w:val="0"/>
    <w:pPr>
      <w:ind w:left="1680" w:leftChars="800"/>
    </w:pPr>
  </w:style>
  <w:style w:type="paragraph" w:styleId="16">
    <w:name w:val="toc 3"/>
    <w:basedOn w:val="1"/>
    <w:next w:val="1"/>
    <w:qFormat/>
    <w:uiPriority w:val="39"/>
    <w:pPr>
      <w:ind w:left="840" w:leftChars="400"/>
    </w:pPr>
  </w:style>
  <w:style w:type="paragraph" w:styleId="17">
    <w:name w:val="Plain Text"/>
    <w:basedOn w:val="1"/>
    <w:link w:val="70"/>
    <w:qFormat/>
    <w:uiPriority w:val="0"/>
    <w:rPr>
      <w:rFonts w:ascii="宋体" w:hAnsi="Courier New" w:cstheme="minorBidi"/>
      <w:szCs w:val="22"/>
    </w:rPr>
  </w:style>
  <w:style w:type="paragraph" w:styleId="18">
    <w:name w:val="toc 8"/>
    <w:basedOn w:val="1"/>
    <w:next w:val="1"/>
    <w:qFormat/>
    <w:uiPriority w:val="0"/>
    <w:pPr>
      <w:ind w:left="2940" w:leftChars="1400"/>
    </w:pPr>
  </w:style>
  <w:style w:type="paragraph" w:styleId="19">
    <w:name w:val="Date"/>
    <w:basedOn w:val="1"/>
    <w:next w:val="1"/>
    <w:link w:val="50"/>
    <w:qFormat/>
    <w:uiPriority w:val="0"/>
    <w:rPr>
      <w:rFonts w:ascii="Arial" w:hAnsi="Arial" w:eastAsia="楷体_GB2312"/>
      <w:sz w:val="28"/>
    </w:rPr>
  </w:style>
  <w:style w:type="paragraph" w:styleId="20">
    <w:name w:val="Body Text Indent 2"/>
    <w:basedOn w:val="1"/>
    <w:link w:val="53"/>
    <w:qFormat/>
    <w:uiPriority w:val="0"/>
    <w:pPr>
      <w:tabs>
        <w:tab w:val="left" w:pos="720"/>
      </w:tabs>
      <w:ind w:right="-506" w:rightChars="-241" w:firstLine="538" w:firstLineChars="192"/>
    </w:pPr>
    <w:rPr>
      <w:rFonts w:eastAsia="仿宋_GB2312"/>
      <w:sz w:val="28"/>
    </w:rPr>
  </w:style>
  <w:style w:type="paragraph" w:styleId="21">
    <w:name w:val="Balloon Text"/>
    <w:basedOn w:val="1"/>
    <w:link w:val="64"/>
    <w:qFormat/>
    <w:uiPriority w:val="0"/>
    <w:rPr>
      <w:sz w:val="18"/>
      <w:szCs w:val="18"/>
    </w:rPr>
  </w:style>
  <w:style w:type="paragraph" w:styleId="22">
    <w:name w:val="footer"/>
    <w:basedOn w:val="1"/>
    <w:link w:val="45"/>
    <w:unhideWhenUsed/>
    <w:qFormat/>
    <w:uiPriority w:val="99"/>
    <w:pPr>
      <w:tabs>
        <w:tab w:val="center" w:pos="4153"/>
        <w:tab w:val="right" w:pos="8306"/>
      </w:tabs>
      <w:snapToGrid w:val="0"/>
      <w:jc w:val="left"/>
    </w:pPr>
    <w:rPr>
      <w:sz w:val="18"/>
      <w:szCs w:val="18"/>
    </w:rPr>
  </w:style>
  <w:style w:type="paragraph" w:styleId="23">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59"/>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unhideWhenUsed/>
    <w:qFormat/>
    <w:uiPriority w:val="99"/>
    <w:pPr>
      <w:jc w:val="left"/>
    </w:pPr>
    <w:rPr>
      <w:kern w:val="0"/>
      <w:sz w:val="24"/>
    </w:rPr>
  </w:style>
  <w:style w:type="paragraph" w:styleId="32">
    <w:name w:val="index 1"/>
    <w:basedOn w:val="1"/>
    <w:next w:val="1"/>
    <w:semiHidden/>
    <w:qFormat/>
    <w:uiPriority w:val="0"/>
    <w:pPr>
      <w:jc w:val="center"/>
    </w:pPr>
    <w:rPr>
      <w:rFonts w:ascii="仿宋_GB2312" w:eastAsia="仿宋_GB2312"/>
      <w:b/>
      <w:bCs/>
      <w:sz w:val="28"/>
    </w:rPr>
  </w:style>
  <w:style w:type="paragraph" w:styleId="33">
    <w:name w:val="annotation subject"/>
    <w:basedOn w:val="9"/>
    <w:next w:val="9"/>
    <w:link w:val="68"/>
    <w:semiHidden/>
    <w:qFormat/>
    <w:uiPriority w:val="99"/>
    <w:rPr>
      <w:b/>
      <w:bCs/>
    </w:rPr>
  </w:style>
  <w:style w:type="paragraph" w:styleId="34">
    <w:name w:val="Body Text First Indent"/>
    <w:basedOn w:val="11"/>
    <w:unhideWhenUsed/>
    <w:qFormat/>
    <w:uiPriority w:val="99"/>
    <w:pPr>
      <w:spacing w:line="400" w:lineRule="atLeast"/>
      <w:ind w:firstLine="426"/>
    </w:pPr>
    <w:rPr>
      <w:sz w:val="24"/>
      <w:szCs w:val="20"/>
    </w:rPr>
  </w:style>
  <w:style w:type="paragraph" w:styleId="35">
    <w:name w:val="Body Text First Indent 2"/>
    <w:basedOn w:val="13"/>
    <w:next w:val="1"/>
    <w:qFormat/>
    <w:uiPriority w:val="0"/>
    <w:pPr>
      <w:spacing w:line="360" w:lineRule="auto"/>
      <w:jc w:val="left"/>
    </w:pPr>
    <w:rPr>
      <w:rFonts w:cs="宋体"/>
      <w:sz w:val="28"/>
      <w:szCs w:val="28"/>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Hyperlink"/>
    <w:basedOn w:val="38"/>
    <w:qFormat/>
    <w:uiPriority w:val="99"/>
    <w:rPr>
      <w:color w:val="333333"/>
      <w:u w:val="none"/>
    </w:rPr>
  </w:style>
  <w:style w:type="character" w:styleId="43">
    <w:name w:val="annotation reference"/>
    <w:semiHidden/>
    <w:qFormat/>
    <w:uiPriority w:val="99"/>
    <w:rPr>
      <w:sz w:val="21"/>
      <w:szCs w:val="21"/>
    </w:rPr>
  </w:style>
  <w:style w:type="character" w:customStyle="1" w:styleId="44">
    <w:name w:val="页眉 Char"/>
    <w:basedOn w:val="38"/>
    <w:link w:val="23"/>
    <w:qFormat/>
    <w:uiPriority w:val="0"/>
    <w:rPr>
      <w:sz w:val="18"/>
      <w:szCs w:val="18"/>
    </w:rPr>
  </w:style>
  <w:style w:type="character" w:customStyle="1" w:styleId="45">
    <w:name w:val="页脚 Char"/>
    <w:basedOn w:val="38"/>
    <w:link w:val="22"/>
    <w:qFormat/>
    <w:uiPriority w:val="99"/>
    <w:rPr>
      <w:sz w:val="18"/>
      <w:szCs w:val="18"/>
    </w:rPr>
  </w:style>
  <w:style w:type="character" w:customStyle="1" w:styleId="46">
    <w:name w:val="标题 1 Char"/>
    <w:basedOn w:val="38"/>
    <w:link w:val="3"/>
    <w:qFormat/>
    <w:uiPriority w:val="0"/>
    <w:rPr>
      <w:rFonts w:ascii="Times New Roman" w:hAnsi="Times New Roman" w:eastAsia="宋体" w:cs="Times New Roman"/>
      <w:sz w:val="28"/>
      <w:szCs w:val="24"/>
    </w:rPr>
  </w:style>
  <w:style w:type="character" w:customStyle="1" w:styleId="47">
    <w:name w:val="标题 2 Char"/>
    <w:basedOn w:val="38"/>
    <w:qFormat/>
    <w:uiPriority w:val="0"/>
    <w:rPr>
      <w:rFonts w:ascii="Arial" w:hAnsi="Arial" w:eastAsia="黑体" w:cs="Times New Roman"/>
      <w:b/>
      <w:kern w:val="0"/>
      <w:sz w:val="32"/>
      <w:szCs w:val="20"/>
    </w:rPr>
  </w:style>
  <w:style w:type="character" w:customStyle="1" w:styleId="48">
    <w:name w:val="标题 3 Char"/>
    <w:basedOn w:val="38"/>
    <w:link w:val="5"/>
    <w:qFormat/>
    <w:uiPriority w:val="0"/>
    <w:rPr>
      <w:rFonts w:ascii="Times New Roman" w:hAnsi="Times New Roman" w:eastAsia="宋体" w:cs="Times New Roman"/>
      <w:b/>
      <w:bCs/>
      <w:sz w:val="32"/>
      <w:szCs w:val="32"/>
      <w:lang w:val="zh-CN" w:eastAsia="zh-CN"/>
    </w:rPr>
  </w:style>
  <w:style w:type="character" w:customStyle="1" w:styleId="49">
    <w:name w:val="标题 4 Char"/>
    <w:basedOn w:val="38"/>
    <w:link w:val="6"/>
    <w:qFormat/>
    <w:uiPriority w:val="0"/>
    <w:rPr>
      <w:rFonts w:ascii="Arial" w:hAnsi="Arial" w:eastAsia="黑体" w:cs="Times New Roman"/>
      <w:b/>
      <w:kern w:val="0"/>
      <w:sz w:val="28"/>
      <w:szCs w:val="20"/>
    </w:rPr>
  </w:style>
  <w:style w:type="character" w:customStyle="1" w:styleId="50">
    <w:name w:val="日期 Char"/>
    <w:basedOn w:val="38"/>
    <w:link w:val="19"/>
    <w:qFormat/>
    <w:uiPriority w:val="0"/>
    <w:rPr>
      <w:rFonts w:ascii="Arial" w:hAnsi="Arial" w:eastAsia="楷体_GB2312" w:cs="Times New Roman"/>
      <w:sz w:val="28"/>
      <w:szCs w:val="20"/>
    </w:rPr>
  </w:style>
  <w:style w:type="character" w:customStyle="1" w:styleId="51">
    <w:name w:val="正文文本缩进 Char"/>
    <w:basedOn w:val="38"/>
    <w:link w:val="13"/>
    <w:qFormat/>
    <w:uiPriority w:val="0"/>
    <w:rPr>
      <w:rFonts w:ascii="Times New Roman" w:hAnsi="Times New Roman" w:eastAsia="仿宋_GB2312" w:cs="Times New Roman"/>
      <w:sz w:val="28"/>
      <w:szCs w:val="20"/>
    </w:rPr>
  </w:style>
  <w:style w:type="paragraph" w:customStyle="1" w:styleId="52">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3">
    <w:name w:val="正文文本缩进 2 Char"/>
    <w:basedOn w:val="38"/>
    <w:link w:val="20"/>
    <w:qFormat/>
    <w:uiPriority w:val="0"/>
    <w:rPr>
      <w:rFonts w:ascii="Times New Roman" w:hAnsi="Times New Roman" w:eastAsia="仿宋_GB2312" w:cs="Times New Roman"/>
      <w:sz w:val="28"/>
      <w:szCs w:val="20"/>
    </w:rPr>
  </w:style>
  <w:style w:type="paragraph" w:customStyle="1" w:styleId="54">
    <w:name w:val="样式1"/>
    <w:basedOn w:val="1"/>
    <w:qFormat/>
    <w:uiPriority w:val="0"/>
    <w:pPr>
      <w:numPr>
        <w:ilvl w:val="0"/>
        <w:numId w:val="1"/>
      </w:numPr>
      <w:adjustRightInd w:val="0"/>
      <w:textAlignment w:val="baseline"/>
    </w:pPr>
    <w:rPr>
      <w:rFonts w:ascii="宋体" w:hAnsi="宋体"/>
      <w:kern w:val="0"/>
    </w:rPr>
  </w:style>
  <w:style w:type="paragraph" w:customStyle="1" w:styleId="55">
    <w:name w:val="样式 宋体 五号 行距: 单倍行距"/>
    <w:basedOn w:val="1"/>
    <w:qFormat/>
    <w:uiPriority w:val="0"/>
    <w:pPr>
      <w:adjustRightInd w:val="0"/>
      <w:jc w:val="left"/>
      <w:textAlignment w:val="baseline"/>
    </w:pPr>
    <w:rPr>
      <w:rFonts w:ascii="宋体" w:hAnsi="宋体"/>
      <w:kern w:val="0"/>
    </w:rPr>
  </w:style>
  <w:style w:type="paragraph" w:customStyle="1" w:styleId="56">
    <w:name w:val="样式 标题 2 + 宋体 五号 行距: 单倍行距"/>
    <w:basedOn w:val="4"/>
    <w:qFormat/>
    <w:uiPriority w:val="0"/>
    <w:pPr>
      <w:spacing w:line="240" w:lineRule="auto"/>
    </w:pPr>
    <w:rPr>
      <w:rFonts w:ascii="宋体" w:hAnsi="宋体" w:eastAsia="宋体"/>
      <w:sz w:val="21"/>
    </w:rPr>
  </w:style>
  <w:style w:type="paragraph" w:customStyle="1" w:styleId="57">
    <w:name w:val="Char Char Char Char Char"/>
    <w:basedOn w:val="1"/>
    <w:qFormat/>
    <w:uiPriority w:val="0"/>
    <w:rPr>
      <w:rFonts w:ascii="Tahoma" w:hAnsi="Tahoma"/>
      <w:sz w:val="24"/>
    </w:rPr>
  </w:style>
  <w:style w:type="paragraph" w:customStyle="1" w:styleId="58">
    <w:name w:val="Char"/>
    <w:basedOn w:val="1"/>
    <w:qFormat/>
    <w:uiPriority w:val="0"/>
    <w:rPr>
      <w:rFonts w:ascii="Tahoma" w:hAnsi="Tahoma"/>
      <w:sz w:val="24"/>
    </w:rPr>
  </w:style>
  <w:style w:type="character" w:customStyle="1" w:styleId="59">
    <w:name w:val="正文文本缩进 3 Char"/>
    <w:basedOn w:val="38"/>
    <w:link w:val="26"/>
    <w:qFormat/>
    <w:uiPriority w:val="0"/>
    <w:rPr>
      <w:rFonts w:ascii="仿宋_GB2312" w:hAnsi="Arial" w:eastAsia="仿宋_GB2312" w:cs="Times New Roman"/>
      <w:sz w:val="28"/>
      <w:szCs w:val="24"/>
    </w:rPr>
  </w:style>
  <w:style w:type="paragraph" w:customStyle="1" w:styleId="60">
    <w:name w:val="Char1"/>
    <w:basedOn w:val="1"/>
    <w:qFormat/>
    <w:uiPriority w:val="0"/>
    <w:rPr>
      <w:rFonts w:ascii="Tahoma" w:hAnsi="Tahoma" w:eastAsia="仿宋_GB2312"/>
      <w:sz w:val="24"/>
    </w:rPr>
  </w:style>
  <w:style w:type="paragraph" w:customStyle="1" w:styleId="61">
    <w:name w:val="Char Char Char Char Char Char Char1 Char"/>
    <w:basedOn w:val="1"/>
    <w:qFormat/>
    <w:uiPriority w:val="0"/>
    <w:rPr>
      <w:rFonts w:ascii="Tahoma" w:hAnsi="Tahoma"/>
      <w:sz w:val="24"/>
    </w:rPr>
  </w:style>
  <w:style w:type="character" w:customStyle="1" w:styleId="62">
    <w:name w:val="正文文本 Char"/>
    <w:basedOn w:val="38"/>
    <w:link w:val="11"/>
    <w:qFormat/>
    <w:uiPriority w:val="0"/>
    <w:rPr>
      <w:rFonts w:ascii="Times New Roman" w:hAnsi="Times New Roman" w:eastAsia="宋体" w:cs="Times New Roman"/>
      <w:szCs w:val="24"/>
    </w:rPr>
  </w:style>
  <w:style w:type="paragraph" w:customStyle="1" w:styleId="63">
    <w:name w:val="Char Char Char Char"/>
    <w:basedOn w:val="1"/>
    <w:next w:val="1"/>
    <w:qFormat/>
    <w:uiPriority w:val="0"/>
    <w:pPr>
      <w:widowControl/>
      <w:spacing w:line="360" w:lineRule="auto"/>
      <w:jc w:val="left"/>
    </w:pPr>
  </w:style>
  <w:style w:type="character" w:customStyle="1" w:styleId="64">
    <w:name w:val="批注框文本 Char"/>
    <w:basedOn w:val="38"/>
    <w:link w:val="21"/>
    <w:qFormat/>
    <w:uiPriority w:val="0"/>
    <w:rPr>
      <w:rFonts w:ascii="Times New Roman" w:hAnsi="Times New Roman" w:eastAsia="宋体" w:cs="Times New Roman"/>
      <w:sz w:val="18"/>
      <w:szCs w:val="18"/>
    </w:rPr>
  </w:style>
  <w:style w:type="paragraph" w:customStyle="1" w:styleId="65">
    <w:name w:val="Char Char Char"/>
    <w:basedOn w:val="1"/>
    <w:qFormat/>
    <w:uiPriority w:val="0"/>
    <w:rPr>
      <w:rFonts w:ascii="Tahoma" w:hAnsi="Tahoma"/>
      <w:sz w:val="24"/>
    </w:rPr>
  </w:style>
  <w:style w:type="paragraph" w:customStyle="1" w:styleId="66">
    <w:name w:val="Char Char Char Char Char Char Char Char Char Char"/>
    <w:basedOn w:val="1"/>
    <w:qFormat/>
    <w:uiPriority w:val="0"/>
    <w:rPr>
      <w:rFonts w:ascii="Tahoma" w:hAnsi="Tahoma" w:cs="仿宋_GB2312"/>
      <w:sz w:val="24"/>
    </w:rPr>
  </w:style>
  <w:style w:type="character" w:customStyle="1" w:styleId="67">
    <w:name w:val="批注文字 Char"/>
    <w:basedOn w:val="38"/>
    <w:link w:val="9"/>
    <w:semiHidden/>
    <w:qFormat/>
    <w:uiPriority w:val="99"/>
    <w:rPr>
      <w:rFonts w:ascii="Times New Roman" w:hAnsi="Times New Roman" w:eastAsia="宋体" w:cs="Times New Roman"/>
      <w:szCs w:val="20"/>
    </w:rPr>
  </w:style>
  <w:style w:type="character" w:customStyle="1" w:styleId="68">
    <w:name w:val="批注主题 Char"/>
    <w:basedOn w:val="67"/>
    <w:link w:val="33"/>
    <w:semiHidden/>
    <w:qFormat/>
    <w:uiPriority w:val="99"/>
    <w:rPr>
      <w:rFonts w:ascii="Times New Roman" w:hAnsi="Times New Roman" w:eastAsia="宋体" w:cs="Times New Roman"/>
      <w:b/>
      <w:bCs/>
      <w:szCs w:val="20"/>
    </w:rPr>
  </w:style>
  <w:style w:type="paragraph" w:customStyle="1" w:styleId="69">
    <w:name w:val="Char Char Char Char Char Char"/>
    <w:basedOn w:val="1"/>
    <w:qFormat/>
    <w:uiPriority w:val="0"/>
  </w:style>
  <w:style w:type="character" w:customStyle="1" w:styleId="70">
    <w:name w:val="纯文本 Char"/>
    <w:link w:val="17"/>
    <w:qFormat/>
    <w:uiPriority w:val="0"/>
    <w:rPr>
      <w:rFonts w:ascii="宋体" w:hAnsi="Courier New" w:eastAsia="宋体"/>
    </w:rPr>
  </w:style>
  <w:style w:type="character" w:customStyle="1" w:styleId="71">
    <w:name w:val="纯文本 Char1"/>
    <w:basedOn w:val="38"/>
    <w:semiHidden/>
    <w:qFormat/>
    <w:uiPriority w:val="99"/>
    <w:rPr>
      <w:rFonts w:ascii="宋体" w:hAnsi="Courier New" w:eastAsia="宋体" w:cs="Courier New"/>
      <w:szCs w:val="21"/>
    </w:rPr>
  </w:style>
  <w:style w:type="paragraph" w:customStyle="1" w:styleId="72">
    <w:name w:val="Char12 Char Char Char"/>
    <w:basedOn w:val="1"/>
    <w:qFormat/>
    <w:uiPriority w:val="0"/>
  </w:style>
  <w:style w:type="character" w:customStyle="1" w:styleId="73">
    <w:name w:val="文档结构图 Char"/>
    <w:basedOn w:val="38"/>
    <w:link w:val="8"/>
    <w:qFormat/>
    <w:uiPriority w:val="0"/>
    <w:rPr>
      <w:rFonts w:ascii="Times New Roman" w:hAnsi="Times New Roman" w:eastAsia="宋体" w:cs="Times New Roman"/>
      <w:szCs w:val="20"/>
      <w:shd w:val="clear" w:color="auto" w:fill="000080"/>
    </w:rPr>
  </w:style>
  <w:style w:type="character" w:customStyle="1" w:styleId="74">
    <w:name w:val="style29"/>
    <w:qFormat/>
    <w:uiPriority w:val="0"/>
  </w:style>
  <w:style w:type="character" w:customStyle="1" w:styleId="75">
    <w:name w:val="正文1"/>
    <w:qFormat/>
    <w:uiPriority w:val="0"/>
  </w:style>
  <w:style w:type="character" w:customStyle="1" w:styleId="76">
    <w:name w:val="font11"/>
    <w:qFormat/>
    <w:uiPriority w:val="0"/>
    <w:rPr>
      <w:rFonts w:hint="default" w:ascii="Times New Roman" w:hAnsi="Times New Roman" w:cs="Times New Roman"/>
      <w:color w:val="3366FF"/>
      <w:sz w:val="24"/>
      <w:szCs w:val="24"/>
      <w:u w:val="none"/>
    </w:rPr>
  </w:style>
  <w:style w:type="character" w:customStyle="1" w:styleId="77">
    <w:name w:val="font21"/>
    <w:qFormat/>
    <w:uiPriority w:val="0"/>
    <w:rPr>
      <w:rFonts w:hint="eastAsia" w:ascii="宋体" w:hAnsi="宋体" w:eastAsia="宋体"/>
      <w:color w:val="3366FF"/>
      <w:sz w:val="24"/>
      <w:szCs w:val="24"/>
      <w:u w:val="none"/>
    </w:rPr>
  </w:style>
  <w:style w:type="paragraph" w:customStyle="1" w:styleId="78">
    <w:name w:val="Char Char15"/>
    <w:basedOn w:val="1"/>
    <w:qFormat/>
    <w:uiPriority w:val="0"/>
    <w:rPr>
      <w:rFonts w:ascii="Tahoma" w:hAnsi="Tahoma" w:eastAsia="仿宋_GB2312"/>
      <w:sz w:val="24"/>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Char2"/>
    <w:basedOn w:val="1"/>
    <w:qFormat/>
    <w:uiPriority w:val="0"/>
    <w:pPr>
      <w:tabs>
        <w:tab w:val="left" w:pos="360"/>
      </w:tabs>
    </w:pPr>
    <w:rPr>
      <w:sz w:val="24"/>
      <w:szCs w:val="24"/>
    </w:rPr>
  </w:style>
  <w:style w:type="paragraph" w:customStyle="1" w:styleId="81">
    <w:name w:val="Char16"/>
    <w:basedOn w:val="1"/>
    <w:qFormat/>
    <w:uiPriority w:val="0"/>
    <w:rPr>
      <w:rFonts w:ascii="Tahoma" w:hAnsi="Tahoma" w:eastAsia="仿宋_GB2312"/>
      <w:sz w:val="24"/>
    </w:rPr>
  </w:style>
  <w:style w:type="paragraph" w:customStyle="1" w:styleId="82">
    <w:name w:val="Char Char1"/>
    <w:basedOn w:val="1"/>
    <w:qFormat/>
    <w:uiPriority w:val="0"/>
    <w:rPr>
      <w:rFonts w:ascii="Tahoma" w:hAnsi="Tahoma"/>
      <w:sz w:val="24"/>
    </w:rPr>
  </w:style>
  <w:style w:type="paragraph" w:customStyle="1" w:styleId="83">
    <w:name w:val="Char Char Char Char Char Char Char"/>
    <w:basedOn w:val="1"/>
    <w:qFormat/>
    <w:uiPriority w:val="0"/>
    <w:rPr>
      <w:szCs w:val="24"/>
    </w:rPr>
  </w:style>
  <w:style w:type="paragraph" w:customStyle="1" w:styleId="84">
    <w:name w:val="Char Char"/>
    <w:basedOn w:val="1"/>
    <w:qFormat/>
    <w:uiPriority w:val="0"/>
    <w:rPr>
      <w:rFonts w:ascii="Tahoma" w:hAnsi="Tahoma" w:cs="仿宋_GB2312"/>
      <w:sz w:val="24"/>
    </w:rPr>
  </w:style>
  <w:style w:type="paragraph" w:customStyle="1" w:styleId="85">
    <w:name w:val="Char Char2"/>
    <w:basedOn w:val="1"/>
    <w:qFormat/>
    <w:uiPriority w:val="0"/>
    <w:rPr>
      <w:rFonts w:ascii="Tahoma" w:hAnsi="Tahoma" w:cs="仿宋_GB2312"/>
      <w:sz w:val="24"/>
    </w:rPr>
  </w:style>
  <w:style w:type="paragraph" w:customStyle="1" w:styleId="86">
    <w:name w:val="Char Char Char1"/>
    <w:basedOn w:val="1"/>
    <w:qFormat/>
    <w:uiPriority w:val="0"/>
    <w:rPr>
      <w:rFonts w:ascii="Tahoma" w:hAnsi="Tahoma"/>
      <w:sz w:val="24"/>
    </w:rPr>
  </w:style>
  <w:style w:type="paragraph" w:customStyle="1" w:styleId="87">
    <w:name w:val="D&amp;L"/>
    <w:basedOn w:val="23"/>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8">
    <w:name w:val="正文文本 3 Char"/>
    <w:basedOn w:val="38"/>
    <w:link w:val="10"/>
    <w:qFormat/>
    <w:uiPriority w:val="99"/>
    <w:rPr>
      <w:rFonts w:ascii="Calibri" w:hAnsi="Calibri" w:eastAsia="宋体" w:cs="Times New Roman"/>
      <w:sz w:val="16"/>
      <w:szCs w:val="16"/>
      <w:lang w:val="zh-CN" w:eastAsia="zh-CN"/>
    </w:rPr>
  </w:style>
  <w:style w:type="paragraph" w:customStyle="1" w:styleId="8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0">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1">
    <w:name w:val="style23"/>
    <w:qFormat/>
    <w:uiPriority w:val="0"/>
    <w:rPr>
      <w:rFonts w:ascii="Times New Roman" w:hAnsi="Times New Roman" w:eastAsia="宋体"/>
    </w:rPr>
  </w:style>
  <w:style w:type="paragraph" w:customStyle="1" w:styleId="92">
    <w:name w:val="p0"/>
    <w:basedOn w:val="1"/>
    <w:qFormat/>
    <w:uiPriority w:val="0"/>
    <w:pPr>
      <w:widowControl/>
      <w:jc w:val="left"/>
    </w:pPr>
    <w:rPr>
      <w:rFonts w:ascii="等线" w:hAnsi="等线" w:eastAsia="等线" w:cs="等线"/>
      <w:kern w:val="0"/>
      <w:sz w:val="20"/>
      <w:szCs w:val="22"/>
    </w:rPr>
  </w:style>
  <w:style w:type="paragraph" w:customStyle="1" w:styleId="93">
    <w:name w:val="列表段落1"/>
    <w:basedOn w:val="1"/>
    <w:qFormat/>
    <w:uiPriority w:val="34"/>
    <w:pPr>
      <w:ind w:firstLine="420" w:firstLineChars="200"/>
    </w:pPr>
    <w:rPr>
      <w:szCs w:val="24"/>
    </w:rPr>
  </w:style>
  <w:style w:type="paragraph" w:customStyle="1" w:styleId="94">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95">
    <w:name w:val="Table Paragraph"/>
    <w:basedOn w:val="1"/>
    <w:qFormat/>
    <w:uiPriority w:val="1"/>
  </w:style>
  <w:style w:type="character" w:customStyle="1" w:styleId="96">
    <w:name w:val="标题 2 Char1"/>
    <w:link w:val="4"/>
    <w:qFormat/>
    <w:uiPriority w:val="0"/>
    <w:rPr>
      <w:rFonts w:ascii="Arial" w:hAnsi="Arial" w:eastAsia="黑体"/>
      <w:b/>
      <w:bCs/>
      <w:sz w:val="32"/>
      <w:szCs w:val="32"/>
    </w:rPr>
  </w:style>
  <w:style w:type="paragraph" w:styleId="97">
    <w:name w:val="List Paragraph"/>
    <w:basedOn w:val="1"/>
    <w:qFormat/>
    <w:uiPriority w:val="99"/>
    <w:pPr>
      <w:ind w:firstLine="420" w:firstLineChars="200"/>
    </w:pPr>
  </w:style>
  <w:style w:type="table" w:customStyle="1" w:styleId="98">
    <w:name w:val="Table Normal"/>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19185</Words>
  <Characters>20128</Characters>
  <Lines>177</Lines>
  <Paragraphs>49</Paragraphs>
  <TotalTime>17</TotalTime>
  <ScaleCrop>false</ScaleCrop>
  <LinksUpToDate>false</LinksUpToDate>
  <CharactersWithSpaces>21510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2017-04-19T23:21:00Z</dcterms:created>
  <dc:creator>朱少尉</dc:creator>
  <cp:lastModifiedBy>吴丹</cp:lastModifiedBy>
  <cp:lastPrinted>2023-04-25T08:34:00Z</cp:lastPrinted>
  <dcterms:modified xsi:type="dcterms:W3CDTF">2023-04-25T09:05:53Z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803E44B9763741168FA8E0F433D953AF</vt:lpwstr>
  </property>
</Properties>
</file>