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高桥湾橡胶坝等3座水利工程标准化管理省级达标第三方技术服务项目询价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4"/>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ind w:left="0" w:leftChars="0" w:firstLine="0" w:firstLineChars="0"/>
        <w:jc w:val="both"/>
        <w:rPr>
          <w:rFonts w:hint="eastAsia" w:ascii="宋体" w:hAnsi="等线" w:eastAsia="宋体" w:cs="Times New Roman"/>
          <w:b/>
          <w:bCs/>
          <w:color w:val="auto"/>
          <w:spacing w:val="20"/>
          <w:kern w:val="0"/>
          <w:sz w:val="32"/>
          <w:szCs w:val="32"/>
          <w:highlight w:val="none"/>
        </w:rPr>
      </w:pPr>
    </w:p>
    <w:p>
      <w:pPr>
        <w:rPr>
          <w:rFonts w:hint="eastAsia"/>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高桥湾橡胶坝等3座水利工程标准化管理省级达标第三方技术服务项目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HSYD-2023-0508</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霍山县水务局</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二三</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六月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4"/>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高桥湾橡胶坝等3座水利工程标准化管理省级达标第三方技术服务项目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高桥湾橡胶坝等3座水利工程标准化管理省级达标第三方技术服务项目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霍山县水务局</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高桥湾橡胶坝等3座水利工程标准化管理省级达标第三方技术服务项目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安徽九凡工程设计咨询有限公司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淮安市水利勘测设计研究院有限公司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安徽源芸项目管理咨询有限公司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bookmarkStart w:id="78" w:name="_GoBack"/>
      <w:bookmarkEnd w:id="78"/>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高桥湾橡胶坝等3座水利工程标准化管理省级达标第三方技术服务项目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HSYD-2023-0508</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4</w:t>
      </w:r>
      <w:r>
        <w:rPr>
          <w:rFonts w:hint="eastAsia" w:ascii="宋体" w:hAnsi="宋体" w:eastAsia="宋体" w:cs="宋体"/>
          <w:i w:val="0"/>
          <w:caps w:val="0"/>
          <w:color w:val="auto"/>
          <w:spacing w:val="0"/>
          <w:sz w:val="21"/>
          <w:szCs w:val="21"/>
          <w:highlight w:val="none"/>
          <w:shd w:val="clear" w:color="auto" w:fill="FFFFFF"/>
        </w:rPr>
        <w:t>、资金来源：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5</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215260.00元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6、项目最高限价：189400.00元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合同签订之日起至省级验收达标止</w:t>
      </w:r>
      <w:r>
        <w:rPr>
          <w:rFonts w:hint="eastAsia" w:ascii="宋体" w:hAnsi="宋体" w:cs="宋体"/>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8、项目概况：</w:t>
      </w:r>
      <w:r>
        <w:rPr>
          <w:rFonts w:hint="eastAsia" w:ascii="宋体" w:hAnsi="宋体" w:cs="宋体"/>
          <w:i w:val="0"/>
          <w:caps w:val="0"/>
          <w:color w:val="auto"/>
          <w:spacing w:val="0"/>
          <w:sz w:val="21"/>
          <w:szCs w:val="21"/>
          <w:highlight w:val="none"/>
          <w:shd w:val="clear" w:color="auto" w:fill="FFFFFF"/>
          <w:lang w:eastAsia="zh-CN"/>
        </w:rPr>
        <w:t>高桥湾橡胶坝等3座水利工程标准化管理省级达标第三方技术服务项目，具体工作内容详见采购文件和采购需求清单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6月16日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20</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23</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6</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20</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w:t>
      </w:r>
      <w:r>
        <w:rPr>
          <w:rFonts w:hint="eastAsia" w:ascii="宋体" w:hAnsi="宋体" w:cs="宋体"/>
          <w:i w:val="0"/>
          <w:caps w:val="0"/>
          <w:color w:val="auto"/>
          <w:spacing w:val="0"/>
          <w:sz w:val="21"/>
          <w:szCs w:val="21"/>
          <w:highlight w:val="none"/>
          <w:u w:val="single"/>
          <w:shd w:val="clear" w:color="auto" w:fill="FFFFFF"/>
          <w:lang w:val="en-US" w:eastAsia="zh-CN"/>
        </w:rPr>
        <w:t>00</w:t>
      </w:r>
      <w:r>
        <w:rPr>
          <w:rFonts w:hint="eastAsia" w:ascii="宋体" w:hAnsi="宋体" w:cs="宋体"/>
          <w:i w:val="0"/>
          <w:caps w:val="0"/>
          <w:color w:val="auto"/>
          <w:spacing w:val="0"/>
          <w:sz w:val="21"/>
          <w:szCs w:val="21"/>
          <w:highlight w:val="none"/>
          <w:u w:val="single"/>
          <w:shd w:val="clear" w:color="auto" w:fill="FFFFFF"/>
          <w:lang w:eastAsia="zh-CN"/>
        </w:rPr>
        <w:t>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王先生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话：13865747606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6月16日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王先生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话：13865747606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高桥湾橡胶坝等3座水利工程标准化管理省级达标第三方技术服务项目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HSYD-2023-0508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壹拾捌万玖仟肆佰元整（￥189400.00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pacing w:val="-6"/>
                <w:kern w:val="0"/>
                <w:szCs w:val="21"/>
                <w:highlight w:val="none"/>
                <w:shd w:val="clear" w:color="auto" w:fill="FFFFFF"/>
              </w:rPr>
              <w:t>省级验收达标1处，支付中标价30%，省级验收达标2处，支付中标价60%，最后1处省级验收达标后付清余款</w:t>
            </w:r>
            <w:r>
              <w:rPr>
                <w:rFonts w:hint="eastAsia" w:ascii="宋体" w:hAnsi="宋体" w:eastAsia="宋体" w:cs="宋体"/>
                <w:b w:val="0"/>
                <w:bCs w:val="0"/>
                <w:color w:val="auto"/>
                <w:spacing w:val="-6"/>
                <w:kern w:val="0"/>
                <w:szCs w:val="21"/>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合同签订之日起至省级验收达标止。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6</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20</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w:t>
            </w:r>
            <w:r>
              <w:rPr>
                <w:rFonts w:hint="eastAsia" w:ascii="宋体" w:hAnsi="宋体" w:cs="宋体"/>
                <w:b/>
                <w:color w:val="auto"/>
                <w:sz w:val="21"/>
                <w:szCs w:val="21"/>
                <w:highlight w:val="none"/>
                <w:u w:val="single"/>
                <w:lang w:val="en-US" w:eastAsia="zh-CN"/>
              </w:rPr>
              <w:t>0</w:t>
            </w:r>
            <w:r>
              <w:rPr>
                <w:rFonts w:hint="eastAsia" w:ascii="宋体" w:hAnsi="宋体" w:cs="宋体"/>
                <w:b/>
                <w:color w:val="auto"/>
                <w:sz w:val="21"/>
                <w:szCs w:val="21"/>
                <w:highlight w:val="none"/>
                <w:u w:val="single"/>
                <w:lang w:eastAsia="zh-CN"/>
              </w:rPr>
              <w:t>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cs="宋体"/>
                <w:b/>
                <w:bCs/>
                <w:color w:val="000000"/>
                <w:highlight w:val="none"/>
                <w:lang w:val="en-US" w:eastAsia="zh-CN"/>
              </w:rPr>
              <w:t>，专家评审费以实际支付为准</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438648662"/>
      <w:bookmarkStart w:id="14" w:name="_Toc12806"/>
      <w:bookmarkStart w:id="15" w:name="_Toc216158625"/>
      <w:bookmarkStart w:id="16" w:name="_Toc363199266"/>
      <w:r>
        <w:rPr>
          <w:rFonts w:hint="eastAsia"/>
          <w:color w:val="auto"/>
          <w:sz w:val="24"/>
          <w:szCs w:val="24"/>
          <w:highlight w:val="none"/>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霍山县水务局</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霍山县水务局</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2757"/>
      <w:bookmarkStart w:id="32" w:name="_Toc16484_WPSOffice_Level1"/>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default" w:ascii="宋体" w:hAnsi="宋体" w:eastAsia="宋体" w:cs="宋体"/>
          <w:b/>
          <w:color w:val="auto"/>
          <w:kern w:val="0"/>
          <w:sz w:val="32"/>
          <w:szCs w:val="32"/>
          <w:highlight w:val="none"/>
          <w:lang w:val="en-US" w:eastAsia="zh-CN" w:bidi="ar-SA"/>
        </w:rPr>
      </w:pPr>
      <w:bookmarkStart w:id="34" w:name="_Toc11297"/>
      <w:bookmarkStart w:id="35" w:name="_Toc4288_WPSOffice_Level1"/>
      <w:r>
        <w:rPr>
          <w:rFonts w:hint="eastAsia" w:ascii="宋体" w:hAnsi="宋体" w:eastAsia="宋体" w:cs="宋体"/>
          <w:b/>
          <w:color w:val="auto"/>
          <w:kern w:val="0"/>
          <w:sz w:val="32"/>
          <w:szCs w:val="32"/>
          <w:highlight w:val="none"/>
          <w:lang w:val="en-US" w:eastAsia="zh-CN" w:bidi="ar-SA"/>
        </w:rPr>
        <w:t>提供高桥湾橡胶坝、梁家滩橡胶坝、小河口排涝站工程标准化管理技术指导服务，根据工程标准化管理省级验收细则，编制和完善工程标准化管理工作制度、运行调度、安全生产、维修养护等相关管理手册，编制工程标准化管理需实施的维修养护、安全生产、工程环境等达标方案及经费预算，负责工程标准化管理申报资料汇编，负责组织工程标准化管理达标自验及省、市级验收相关工作。</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7"/>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31656"/>
      <w:bookmarkStart w:id="52" w:name="_Toc471299104"/>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516969098"/>
      <w:bookmarkStart w:id="57" w:name="_Toc3858_WPSOffice_Level1"/>
      <w:bookmarkStart w:id="58" w:name="_Toc148501698"/>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17045478"/>
      <w:bookmarkStart w:id="60" w:name="_Toc471299106"/>
      <w:bookmarkStart w:id="61" w:name="_Toc30711"/>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471299110"/>
      <w:bookmarkStart w:id="69" w:name="_Toc27567"/>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3085"/>
      <w:bookmarkStart w:id="75"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8"/>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OTY5MjZmODlkMWMxMGE4ZTI3YTBjZjVlNGRhZDcifQ=="/>
    <w:docVar w:name="KSO_WPS_MARK_KEY" w:val="b9fa7206-6354-47f8-8f3f-90fa3f560e44"/>
  </w:docVars>
  <w:rsids>
    <w:rsidRoot w:val="2F1C57A5"/>
    <w:rsid w:val="0003708B"/>
    <w:rsid w:val="00292389"/>
    <w:rsid w:val="00847D88"/>
    <w:rsid w:val="00B03C56"/>
    <w:rsid w:val="00B17BC8"/>
    <w:rsid w:val="00EB626F"/>
    <w:rsid w:val="00F41810"/>
    <w:rsid w:val="00FB35BB"/>
    <w:rsid w:val="01256BF4"/>
    <w:rsid w:val="01C61FFE"/>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671A66"/>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1E97424"/>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15E23"/>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D7290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0A5D32"/>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166524"/>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3A3643"/>
    <w:rsid w:val="46447AD0"/>
    <w:rsid w:val="4667667C"/>
    <w:rsid w:val="46AA52FF"/>
    <w:rsid w:val="46D1142D"/>
    <w:rsid w:val="46F751BF"/>
    <w:rsid w:val="46FE1966"/>
    <w:rsid w:val="474D3E16"/>
    <w:rsid w:val="477775EB"/>
    <w:rsid w:val="47AD1197"/>
    <w:rsid w:val="47D0027D"/>
    <w:rsid w:val="47E710FB"/>
    <w:rsid w:val="47ED349E"/>
    <w:rsid w:val="48817ED8"/>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A37C4C"/>
    <w:rsid w:val="54B56A54"/>
    <w:rsid w:val="54D53CF9"/>
    <w:rsid w:val="55122095"/>
    <w:rsid w:val="552175DB"/>
    <w:rsid w:val="553923F2"/>
    <w:rsid w:val="553A0B70"/>
    <w:rsid w:val="55581881"/>
    <w:rsid w:val="558001AF"/>
    <w:rsid w:val="55881C3C"/>
    <w:rsid w:val="559C563E"/>
    <w:rsid w:val="55AF28BB"/>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6042C0"/>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A737B2"/>
    <w:rsid w:val="68BA3798"/>
    <w:rsid w:val="690D0368"/>
    <w:rsid w:val="692F6410"/>
    <w:rsid w:val="696206A1"/>
    <w:rsid w:val="697D021F"/>
    <w:rsid w:val="69B073A7"/>
    <w:rsid w:val="69FC1BE0"/>
    <w:rsid w:val="69FF7CBD"/>
    <w:rsid w:val="6A1F2DBC"/>
    <w:rsid w:val="6A47529D"/>
    <w:rsid w:val="6A5A6DA2"/>
    <w:rsid w:val="6AF61310"/>
    <w:rsid w:val="6B1F0F58"/>
    <w:rsid w:val="6B225547"/>
    <w:rsid w:val="6B272448"/>
    <w:rsid w:val="6B413A50"/>
    <w:rsid w:val="6B7364E7"/>
    <w:rsid w:val="6BBE1FFB"/>
    <w:rsid w:val="6BEE750B"/>
    <w:rsid w:val="6C0040EC"/>
    <w:rsid w:val="6C106630"/>
    <w:rsid w:val="6C555DCE"/>
    <w:rsid w:val="6C640C01"/>
    <w:rsid w:val="6CC25408"/>
    <w:rsid w:val="6CD771B7"/>
    <w:rsid w:val="6D4873AD"/>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537DB4"/>
    <w:rsid w:val="7A650A81"/>
    <w:rsid w:val="7A686D7F"/>
    <w:rsid w:val="7AA81F8D"/>
    <w:rsid w:val="7AB62E6C"/>
    <w:rsid w:val="7BB17143"/>
    <w:rsid w:val="7C1203A8"/>
    <w:rsid w:val="7C3F2CC5"/>
    <w:rsid w:val="7C9114C5"/>
    <w:rsid w:val="7D196BB9"/>
    <w:rsid w:val="7D5B6627"/>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next w:val="9"/>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9">
    <w:name w:val="表格文字"/>
    <w:basedOn w:val="1"/>
    <w:qFormat/>
    <w:uiPriority w:val="0"/>
    <w:pPr>
      <w:spacing w:line="360" w:lineRule="exact"/>
      <w:jc w:val="center"/>
    </w:pPr>
    <w:rPr>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qFormat/>
    <w:uiPriority w:val="0"/>
    <w:pPr>
      <w:spacing w:line="400" w:lineRule="atLeast"/>
      <w:ind w:firstLine="426"/>
    </w:pPr>
    <w:rPr>
      <w:rFonts w:ascii="Times New Roman" w:hAnsi="Times New Roman"/>
      <w:sz w:val="24"/>
      <w:szCs w:val="20"/>
    </w:rPr>
  </w:style>
  <w:style w:type="paragraph" w:styleId="19">
    <w:name w:val="Body Text First Indent 2"/>
    <w:basedOn w:val="10"/>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4</TotalTime>
  <ScaleCrop>false</ScaleCrop>
  <LinksUpToDate>false</LinksUpToDate>
  <CharactersWithSpaces>11002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2023-06-16T06:31:59Z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83CF88A9210749FCA218DD0C051CCD1D</vt:lpwstr>
  </property>
</Properties>
</file>