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0"/>
          <w:szCs w:val="40"/>
          <w:lang w:eastAsia="zh-CN"/>
        </w:rPr>
      </w:pPr>
    </w:p>
    <w:p>
      <w:pPr>
        <w:pStyle w:val="2"/>
        <w:jc w:val="center"/>
      </w:pPr>
      <w:r>
        <w:rPr>
          <w:rFonts w:hint="eastAsia" w:ascii="宋体" w:hAnsi="宋体"/>
          <w:b/>
          <w:sz w:val="40"/>
          <w:szCs w:val="40"/>
          <w:lang w:eastAsia="zh-CN"/>
        </w:rPr>
        <w:t>磨子潭镇中心卫生院CT检查室、机房改造项目</w:t>
      </w:r>
    </w:p>
    <w:p>
      <w:pPr>
        <w:jc w:val="center"/>
        <w:rPr>
          <w:rFonts w:hint="eastAsia" w:ascii="宋体" w:hAnsi="宋体"/>
          <w:b/>
          <w:sz w:val="52"/>
          <w:szCs w:val="52"/>
        </w:rPr>
      </w:pPr>
    </w:p>
    <w:p>
      <w:pPr>
        <w:jc w:val="center"/>
        <w:rPr>
          <w:rFonts w:hint="eastAsia" w:ascii="宋体" w:hAnsi="宋体"/>
          <w:b/>
          <w:sz w:val="52"/>
          <w:szCs w:val="52"/>
        </w:rPr>
      </w:pPr>
    </w:p>
    <w:p>
      <w:pPr>
        <w:jc w:val="center"/>
        <w:rPr>
          <w:rFonts w:ascii="宋体" w:hAnsi="宋体"/>
          <w:b/>
          <w:sz w:val="52"/>
          <w:szCs w:val="52"/>
        </w:rPr>
      </w:pPr>
      <w:r>
        <w:rPr>
          <w:rFonts w:hint="eastAsia" w:ascii="宋体" w:hAnsi="宋体"/>
          <w:b/>
          <w:sz w:val="52"/>
          <w:szCs w:val="52"/>
        </w:rPr>
        <w:t>谈</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判</w:t>
      </w:r>
    </w:p>
    <w:p>
      <w:pPr>
        <w:pStyle w:val="33"/>
      </w:pPr>
    </w:p>
    <w:p>
      <w:pPr>
        <w:jc w:val="center"/>
        <w:rPr>
          <w:rFonts w:ascii="宋体" w:hAnsi="宋体"/>
          <w:b/>
          <w:sz w:val="52"/>
          <w:szCs w:val="52"/>
        </w:rPr>
      </w:pPr>
      <w:r>
        <w:rPr>
          <w:rFonts w:hint="eastAsia" w:ascii="宋体" w:hAnsi="宋体"/>
          <w:b/>
          <w:sz w:val="52"/>
          <w:szCs w:val="52"/>
        </w:rPr>
        <w:t>文</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件</w:t>
      </w:r>
    </w:p>
    <w:p>
      <w:pPr>
        <w:spacing w:line="400" w:lineRule="exact"/>
        <w:ind w:firstLine="2570" w:firstLineChars="800"/>
        <w:rPr>
          <w:rFonts w:hint="eastAsia" w:ascii="宋体" w:hAnsi="宋体"/>
          <w:b/>
          <w:sz w:val="32"/>
          <w:szCs w:val="15"/>
          <w:lang w:val="en-US" w:eastAsia="zh-CN"/>
        </w:rPr>
      </w:pPr>
    </w:p>
    <w:p>
      <w:pPr>
        <w:spacing w:line="400" w:lineRule="exact"/>
        <w:ind w:firstLine="2560" w:firstLineChars="800"/>
        <w:rPr>
          <w:rFonts w:hint="default" w:ascii="宋体" w:hAnsi="宋体" w:eastAsia="宋体"/>
          <w:b w:val="0"/>
          <w:bCs/>
          <w:sz w:val="41"/>
          <w:lang w:val="en-US" w:eastAsia="zh-CN"/>
        </w:rPr>
      </w:pPr>
      <w:r>
        <w:rPr>
          <w:rFonts w:hint="eastAsia" w:ascii="宋体" w:hAnsi="宋体"/>
          <w:b w:val="0"/>
          <w:bCs/>
          <w:sz w:val="32"/>
          <w:szCs w:val="15"/>
          <w:lang w:val="en-US" w:eastAsia="zh-CN"/>
        </w:rPr>
        <w:t>项目编号：HSYD-2023-0804</w:t>
      </w:r>
      <w:r>
        <w:rPr>
          <w:rFonts w:hint="eastAsia" w:ascii="宋体" w:hAnsi="宋体" w:eastAsia="宋体"/>
          <w:b w:val="0"/>
          <w:bCs/>
          <w:sz w:val="32"/>
          <w:szCs w:val="15"/>
          <w:lang w:val="en-US" w:eastAsia="zh-CN"/>
        </w:rPr>
        <w:t xml:space="preserve"> </w:t>
      </w:r>
    </w:p>
    <w:p>
      <w:pPr>
        <w:spacing w:line="400" w:lineRule="exact"/>
        <w:rPr>
          <w:rFonts w:ascii="宋体" w:hAnsi="宋体"/>
        </w:rPr>
      </w:pPr>
    </w:p>
    <w:p>
      <w:pPr>
        <w:spacing w:line="400" w:lineRule="exact"/>
        <w:rPr>
          <w:rFonts w:ascii="仿宋" w:hAnsi="仿宋" w:eastAsia="仿宋" w:cs="仿宋"/>
          <w:sz w:val="32"/>
          <w:szCs w:val="32"/>
        </w:rPr>
      </w:pPr>
    </w:p>
    <w:p>
      <w:pPr>
        <w:spacing w:line="400" w:lineRule="exact"/>
        <w:rPr>
          <w:rFonts w:ascii="仿宋" w:hAnsi="仿宋" w:eastAsia="仿宋" w:cs="仿宋"/>
          <w:sz w:val="32"/>
          <w:szCs w:val="32"/>
        </w:rPr>
      </w:pPr>
    </w:p>
    <w:p>
      <w:pPr>
        <w:spacing w:line="360" w:lineRule="auto"/>
        <w:jc w:val="center"/>
        <w:rPr>
          <w:rFonts w:hint="eastAsia" w:ascii="宋体" w:hAnsi="宋体" w:cs="宋体"/>
          <w:b/>
          <w:bCs/>
          <w:color w:val="auto"/>
          <w:sz w:val="32"/>
          <w:szCs w:val="32"/>
          <w:lang w:eastAsia="zh-CN"/>
        </w:rPr>
      </w:pPr>
      <w:r>
        <w:rPr>
          <w:rFonts w:hint="eastAsia" w:ascii="宋体" w:hAnsi="宋体" w:cs="宋体"/>
          <w:b/>
          <w:bCs/>
          <w:color w:val="auto"/>
          <w:sz w:val="32"/>
          <w:szCs w:val="32"/>
          <w:lang w:val="en-US" w:eastAsia="zh-CN"/>
        </w:rPr>
        <w:t xml:space="preserve">采 购 </w:t>
      </w:r>
      <w:r>
        <w:rPr>
          <w:rFonts w:hint="eastAsia" w:ascii="宋体" w:hAnsi="宋体" w:cs="宋体"/>
          <w:b/>
          <w:bCs/>
          <w:color w:val="auto"/>
          <w:sz w:val="32"/>
          <w:szCs w:val="32"/>
        </w:rPr>
        <w:t>人：</w:t>
      </w:r>
      <w:r>
        <w:rPr>
          <w:rFonts w:hint="eastAsia" w:ascii="宋体" w:hAnsi="宋体" w:cs="宋体"/>
          <w:b/>
          <w:bCs/>
          <w:color w:val="auto"/>
          <w:sz w:val="32"/>
          <w:szCs w:val="32"/>
          <w:lang w:eastAsia="zh-CN"/>
        </w:rPr>
        <w:t>霍山县中医院医共体集团磨子潭分院</w:t>
      </w:r>
    </w:p>
    <w:p>
      <w:pPr>
        <w:spacing w:line="360" w:lineRule="auto"/>
        <w:ind w:firstLine="2570" w:firstLineChars="800"/>
        <w:rPr>
          <w:rFonts w:hint="eastAsia" w:ascii="宋体" w:hAnsi="宋体" w:eastAsia="宋体" w:cs="宋体"/>
          <w:b/>
          <w:bCs/>
          <w:color w:val="auto"/>
          <w:lang w:eastAsia="zh-CN"/>
        </w:rPr>
      </w:pPr>
      <w:r>
        <w:rPr>
          <w:rFonts w:hint="eastAsia" w:ascii="宋体" w:hAnsi="宋体" w:cs="宋体"/>
          <w:b/>
          <w:bCs/>
          <w:color w:val="auto"/>
          <w:sz w:val="32"/>
          <w:szCs w:val="32"/>
          <w:lang w:val="en-US" w:eastAsia="zh-CN"/>
        </w:rPr>
        <w:t>代理机构</w:t>
      </w:r>
      <w:r>
        <w:rPr>
          <w:rFonts w:hint="eastAsia" w:ascii="宋体" w:hAnsi="宋体" w:cs="宋体"/>
          <w:b/>
          <w:bCs/>
          <w:color w:val="auto"/>
          <w:sz w:val="32"/>
          <w:szCs w:val="32"/>
        </w:rPr>
        <w:t>：</w:t>
      </w:r>
      <w:r>
        <w:rPr>
          <w:rFonts w:hint="eastAsia" w:ascii="宋体" w:hAnsi="宋体" w:cs="宋体"/>
          <w:b/>
          <w:bCs/>
          <w:color w:val="auto"/>
          <w:sz w:val="32"/>
          <w:szCs w:val="32"/>
          <w:lang w:eastAsia="zh-CN"/>
        </w:rPr>
        <w:t>霍山永达工程咨询有限公司</w:t>
      </w:r>
    </w:p>
    <w:p>
      <w:pPr>
        <w:spacing w:line="360" w:lineRule="auto"/>
        <w:ind w:firstLine="2570" w:firstLineChars="800"/>
        <w:rPr>
          <w:rFonts w:ascii="仿宋" w:hAnsi="仿宋" w:eastAsia="仿宋" w:cs="仿宋"/>
          <w:sz w:val="32"/>
          <w:szCs w:val="32"/>
        </w:rPr>
      </w:pPr>
      <w:r>
        <w:rPr>
          <w:rFonts w:hint="eastAsia" w:ascii="宋体" w:hAnsi="宋体" w:cs="宋体"/>
          <w:b/>
          <w:bCs/>
          <w:color w:val="auto"/>
          <w:sz w:val="32"/>
          <w:szCs w:val="32"/>
        </w:rPr>
        <w:t>发布日期：202</w:t>
      </w:r>
      <w:r>
        <w:rPr>
          <w:rFonts w:hint="eastAsia" w:ascii="宋体" w:hAnsi="宋体" w:cs="宋体"/>
          <w:b/>
          <w:bCs/>
          <w:color w:val="auto"/>
          <w:sz w:val="32"/>
          <w:szCs w:val="32"/>
          <w:lang w:val="en-US" w:eastAsia="zh-CN"/>
        </w:rPr>
        <w:t>3</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8</w:t>
      </w:r>
      <w:r>
        <w:rPr>
          <w:rFonts w:hint="eastAsia" w:ascii="宋体" w:hAnsi="宋体" w:cs="宋体"/>
          <w:b/>
          <w:bCs/>
          <w:color w:val="auto"/>
          <w:sz w:val="32"/>
          <w:szCs w:val="32"/>
        </w:rPr>
        <w:t>月</w:t>
      </w:r>
      <w:r>
        <w:rPr>
          <w:rFonts w:hint="eastAsia" w:ascii="宋体" w:hAnsi="宋体" w:cs="宋体"/>
          <w:b/>
          <w:bCs/>
          <w:color w:val="0000FF"/>
          <w:sz w:val="32"/>
          <w:szCs w:val="32"/>
        </w:rPr>
        <w:t xml:space="preserve"> </w:t>
      </w:r>
      <w:r>
        <w:rPr>
          <w:rFonts w:hint="eastAsia" w:ascii="宋体" w:hAnsi="宋体" w:cs="宋体"/>
          <w:color w:val="0000FF"/>
          <w:sz w:val="32"/>
          <w:szCs w:val="32"/>
        </w:rPr>
        <w:t xml:space="preserve">   </w:t>
      </w:r>
      <w:r>
        <w:rPr>
          <w:rFonts w:hint="eastAsia" w:ascii="仿宋" w:hAnsi="仿宋" w:eastAsia="仿宋" w:cs="仿宋"/>
          <w:sz w:val="32"/>
          <w:szCs w:val="32"/>
        </w:rPr>
        <w:t xml:space="preserve">   </w:t>
      </w:r>
    </w:p>
    <w:p>
      <w:pPr>
        <w:pStyle w:val="4"/>
        <w:spacing w:before="156" w:beforeLines="50" w:after="156" w:afterLines="50" w:line="520" w:lineRule="exact"/>
        <w:jc w:val="center"/>
        <w:rPr>
          <w:rFonts w:ascii="华文中宋" w:hAnsi="华文中宋" w:eastAsia="华文中宋" w:cs="华文中宋"/>
          <w:b w:val="0"/>
          <w:bCs/>
          <w:sz w:val="28"/>
          <w:szCs w:val="28"/>
        </w:rPr>
        <w:sectPr>
          <w:headerReference r:id="rId3" w:type="first"/>
          <w:footerReference r:id="rId4" w:type="first"/>
          <w:pgSz w:w="11906" w:h="16838"/>
          <w:pgMar w:top="1440" w:right="1080" w:bottom="1440" w:left="1080" w:header="851" w:footer="992" w:gutter="0"/>
          <w:pgNumType w:start="1"/>
          <w:cols w:space="720" w:num="1"/>
          <w:titlePg/>
          <w:docGrid w:type="lines" w:linePitch="312" w:charSpace="0"/>
        </w:sectPr>
      </w:pPr>
      <w:bookmarkStart w:id="0" w:name="_Toc28964"/>
      <w:bookmarkStart w:id="1" w:name="_Toc30186"/>
      <w:bookmarkStart w:id="2" w:name="_Toc363199264"/>
      <w:bookmarkStart w:id="3" w:name="_Toc216158623"/>
    </w:p>
    <w:p>
      <w:pPr>
        <w:pStyle w:val="4"/>
        <w:spacing w:before="156" w:beforeLines="50" w:after="156" w:afterLines="50" w:line="520" w:lineRule="exact"/>
        <w:jc w:val="center"/>
        <w:rPr>
          <w:rFonts w:ascii="华文中宋" w:hAnsi="华文中宋" w:eastAsia="华文中宋" w:cs="华文中宋"/>
          <w:b w:val="0"/>
          <w:bCs/>
          <w:sz w:val="28"/>
          <w:szCs w:val="28"/>
        </w:rPr>
      </w:pPr>
      <w:r>
        <w:rPr>
          <w:rFonts w:hint="eastAsia" w:ascii="华文中宋" w:hAnsi="华文中宋" w:eastAsia="华文中宋" w:cs="华文中宋"/>
          <w:b w:val="0"/>
          <w:bCs/>
          <w:sz w:val="28"/>
          <w:szCs w:val="28"/>
          <w:lang w:eastAsia="zh-CN"/>
        </w:rPr>
        <w:t>磨子潭镇中心卫生院CT检查室、机房改造项目</w:t>
      </w:r>
      <w:r>
        <w:rPr>
          <w:rFonts w:hint="eastAsia" w:ascii="华文中宋" w:hAnsi="华文中宋" w:eastAsia="华文中宋" w:cs="华文中宋"/>
          <w:b w:val="0"/>
          <w:bCs/>
          <w:sz w:val="28"/>
          <w:szCs w:val="28"/>
        </w:rPr>
        <w:t>竞争性谈判采购公告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lang w:eastAsia="zh-CN"/>
        </w:rPr>
        <w:t>磨子潭镇中心卫生院CT检查室、机房改造项目</w:t>
      </w:r>
      <w:r>
        <w:rPr>
          <w:rFonts w:hint="eastAsia" w:ascii="仿宋" w:hAnsi="仿宋" w:eastAsia="仿宋" w:cs="仿宋"/>
          <w:sz w:val="28"/>
          <w:szCs w:val="28"/>
        </w:rPr>
        <w:t>的潜在供应商应在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fldChar w:fldCharType="begin"/>
      </w:r>
      <w:r>
        <w:instrText xml:space="preserve"> HYPERLINK "http://ggzy.luan.gov.cn）获取采购文件，并于2022年11月" </w:instrText>
      </w:r>
      <w:r>
        <w:fldChar w:fldCharType="separate"/>
      </w:r>
      <w:r>
        <w:rPr>
          <w:rStyle w:val="46"/>
          <w:rFonts w:hint="eastAsia" w:ascii="仿宋" w:hAnsi="仿宋" w:eastAsia="仿宋" w:cs="仿宋"/>
          <w:sz w:val="28"/>
          <w:szCs w:val="28"/>
          <w:lang w:eastAsia="zh-CN"/>
        </w:rPr>
        <w:t>www.hsydgczx.com</w:t>
      </w:r>
      <w:r>
        <w:rPr>
          <w:rStyle w:val="46"/>
          <w:rFonts w:hint="eastAsia" w:ascii="仿宋" w:hAnsi="仿宋" w:eastAsia="仿宋" w:cs="仿宋"/>
          <w:sz w:val="28"/>
          <w:szCs w:val="28"/>
        </w:rPr>
        <w:t>）获取采购文件，并于202</w:t>
      </w:r>
      <w:r>
        <w:rPr>
          <w:rStyle w:val="46"/>
          <w:rFonts w:hint="eastAsia" w:ascii="仿宋" w:hAnsi="仿宋" w:eastAsia="仿宋" w:cs="仿宋"/>
          <w:sz w:val="28"/>
          <w:szCs w:val="28"/>
          <w:lang w:val="en-US" w:eastAsia="zh-CN"/>
        </w:rPr>
        <w:t>3</w:t>
      </w:r>
      <w:r>
        <w:rPr>
          <w:rStyle w:val="46"/>
          <w:rFonts w:hint="eastAsia" w:ascii="仿宋" w:hAnsi="仿宋" w:eastAsia="仿宋" w:cs="仿宋"/>
          <w:sz w:val="28"/>
          <w:szCs w:val="28"/>
        </w:rPr>
        <w:t>年</w:t>
      </w:r>
      <w:r>
        <w:rPr>
          <w:rStyle w:val="46"/>
          <w:rFonts w:hint="eastAsia" w:ascii="仿宋" w:hAnsi="仿宋" w:eastAsia="仿宋" w:cs="仿宋"/>
          <w:sz w:val="28"/>
          <w:szCs w:val="28"/>
          <w:lang w:val="en-US" w:eastAsia="zh-CN"/>
        </w:rPr>
        <w:t>8</w:t>
      </w:r>
      <w:r>
        <w:rPr>
          <w:rStyle w:val="46"/>
          <w:rFonts w:hint="eastAsia" w:ascii="仿宋" w:hAnsi="仿宋" w:eastAsia="仿宋" w:cs="仿宋"/>
          <w:sz w:val="28"/>
          <w:szCs w:val="28"/>
        </w:rPr>
        <w:t>月</w:t>
      </w:r>
      <w:r>
        <w:rPr>
          <w:rStyle w:val="46"/>
          <w:rFonts w:hint="eastAsia" w:ascii="仿宋" w:hAnsi="仿宋" w:eastAsia="仿宋" w:cs="仿宋"/>
          <w:sz w:val="28"/>
          <w:szCs w:val="28"/>
        </w:rPr>
        <w:fldChar w:fldCharType="end"/>
      </w:r>
      <w:r>
        <w:rPr>
          <w:rFonts w:hint="eastAsia" w:ascii="仿宋" w:hAnsi="仿宋" w:eastAsia="仿宋" w:cs="仿宋"/>
          <w:sz w:val="28"/>
          <w:szCs w:val="28"/>
          <w:u w:val="none"/>
          <w:lang w:val="en-US" w:eastAsia="zh-CN"/>
        </w:rPr>
        <w:t>31</w:t>
      </w:r>
      <w:r>
        <w:rPr>
          <w:rFonts w:hint="eastAsia" w:ascii="仿宋" w:hAnsi="仿宋" w:eastAsia="仿宋" w:cs="仿宋"/>
          <w:sz w:val="28"/>
          <w:szCs w:val="28"/>
        </w:rPr>
        <w:t>日</w:t>
      </w:r>
      <w:r>
        <w:rPr>
          <w:rFonts w:hint="eastAsia" w:ascii="仿宋" w:hAnsi="仿宋" w:eastAsia="仿宋" w:cs="仿宋"/>
          <w:sz w:val="28"/>
          <w:szCs w:val="28"/>
          <w:u w:val="none"/>
          <w:lang w:val="en-US" w:eastAsia="zh-CN"/>
        </w:rPr>
        <w:t>15</w:t>
      </w:r>
      <w:r>
        <w:rPr>
          <w:rFonts w:hint="eastAsia" w:ascii="仿宋" w:hAnsi="仿宋" w:eastAsia="仿宋" w:cs="仿宋"/>
          <w:sz w:val="28"/>
          <w:szCs w:val="28"/>
          <w:u w:val="none"/>
        </w:rPr>
        <w:t>点</w:t>
      </w:r>
      <w:r>
        <w:rPr>
          <w:rFonts w:hint="eastAsia" w:ascii="仿宋" w:hAnsi="仿宋" w:eastAsia="仿宋" w:cs="仿宋"/>
          <w:sz w:val="28"/>
          <w:szCs w:val="28"/>
          <w:u w:val="none"/>
          <w:lang w:val="en-US" w:eastAsia="zh-CN"/>
        </w:rPr>
        <w:t>30</w:t>
      </w:r>
      <w:r>
        <w:rPr>
          <w:rFonts w:hint="eastAsia" w:ascii="仿宋" w:hAnsi="仿宋" w:eastAsia="仿宋" w:cs="仿宋"/>
          <w:sz w:val="28"/>
          <w:szCs w:val="28"/>
        </w:rPr>
        <w:t>分（北京时间）前提交响应文件。</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4" w:name="_Toc7777"/>
      <w:bookmarkStart w:id="5" w:name="_Toc28359012"/>
      <w:bookmarkStart w:id="6" w:name="_Toc35393798"/>
      <w:bookmarkStart w:id="7" w:name="_Toc28359089"/>
      <w:bookmarkStart w:id="8" w:name="_Toc35393629"/>
      <w:r>
        <w:rPr>
          <w:rFonts w:hint="eastAsia" w:ascii="黑体" w:hAnsi="黑体" w:cs="黑体"/>
          <w:b w:val="0"/>
          <w:bCs/>
          <w:sz w:val="28"/>
          <w:szCs w:val="28"/>
        </w:rPr>
        <w:t>一、项目基本情况</w:t>
      </w:r>
      <w:bookmarkEnd w:id="4"/>
      <w:bookmarkEnd w:id="5"/>
      <w:bookmarkEnd w:id="6"/>
      <w:bookmarkEnd w:id="7"/>
      <w:bookmarkEnd w:id="8"/>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、项目名称：</w:t>
      </w:r>
      <w:r>
        <w:rPr>
          <w:rFonts w:hint="eastAsia" w:ascii="仿宋" w:hAnsi="仿宋" w:eastAsia="仿宋" w:cs="仿宋"/>
          <w:sz w:val="28"/>
          <w:szCs w:val="28"/>
          <w:lang w:eastAsia="zh-CN"/>
        </w:rPr>
        <w:t>磨子潭镇中心卫生院CT检查室、机房改造项目</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项目编号：HSYD-2023-0804 </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项目类型：工程类</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、采购方式：竞争性谈判 </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color w:val="auto"/>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、预算金额：</w:t>
      </w:r>
      <w:r>
        <w:rPr>
          <w:rFonts w:hint="eastAsia" w:ascii="仿宋" w:hAnsi="仿宋" w:eastAsia="仿宋" w:cs="仿宋"/>
          <w:sz w:val="28"/>
          <w:szCs w:val="28"/>
          <w:lang w:val="en-US" w:eastAsia="zh-CN"/>
        </w:rPr>
        <w:t>237634.61</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、最高限价：</w:t>
      </w:r>
      <w:r>
        <w:rPr>
          <w:rFonts w:hint="eastAsia" w:ascii="仿宋" w:hAnsi="仿宋" w:eastAsia="仿宋" w:cs="仿宋"/>
          <w:sz w:val="28"/>
          <w:szCs w:val="28"/>
          <w:lang w:val="en-US" w:eastAsia="zh-CN"/>
        </w:rPr>
        <w:t>237634.61</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、采购需求</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本项目位于霍山县磨子潭镇。工程主要内容包括：设备基础、零星改造、CT机房改造防护工程等，具体详见工程量清单。</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color w:val="auto"/>
          <w:sz w:val="28"/>
          <w:szCs w:val="28"/>
          <w:u w:val="single"/>
          <w:lang w:val="en-US"/>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、合同履行期限</w:t>
      </w:r>
      <w:r>
        <w:rPr>
          <w:rFonts w:hint="eastAsia" w:ascii="仿宋" w:hAnsi="仿宋" w:eastAsia="仿宋" w:cs="仿宋"/>
          <w:color w:val="auto"/>
          <w:sz w:val="28"/>
          <w:szCs w:val="28"/>
          <w:lang w:val="en-US" w:eastAsia="zh-CN"/>
        </w:rPr>
        <w:t>：30日历天</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、是否接受联合体：本项目不接受联合体</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9" w:name="_Toc28359013"/>
      <w:bookmarkStart w:id="10" w:name="_Toc35393630"/>
      <w:bookmarkStart w:id="11" w:name="_Toc28359090"/>
      <w:bookmarkStart w:id="12" w:name="_Toc11070"/>
      <w:bookmarkStart w:id="13" w:name="_Toc35393799"/>
      <w:r>
        <w:rPr>
          <w:rFonts w:hint="eastAsia" w:ascii="黑体" w:hAnsi="黑体" w:cs="黑体"/>
          <w:b w:val="0"/>
          <w:bCs/>
          <w:sz w:val="28"/>
          <w:szCs w:val="28"/>
        </w:rPr>
        <w:t>二、申请人的资格要求</w:t>
      </w:r>
      <w:bookmarkEnd w:id="9"/>
      <w:bookmarkEnd w:id="10"/>
      <w:bookmarkEnd w:id="11"/>
      <w:bookmarkEnd w:id="12"/>
      <w:bookmarkEnd w:id="13"/>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bookmarkStart w:id="14" w:name="_Toc28359091"/>
      <w:bookmarkStart w:id="15" w:name="_Toc28359014"/>
      <w:r>
        <w:rPr>
          <w:rFonts w:hint="eastAsia" w:ascii="仿宋" w:hAnsi="仿宋" w:eastAsia="仿宋" w:cs="仿宋"/>
          <w:sz w:val="28"/>
          <w:szCs w:val="28"/>
        </w:rPr>
        <w:t>2、本项目的特定资格要求：</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（1）供应商具有独立法人资格</w:t>
      </w:r>
      <w:r>
        <w:rPr>
          <w:rFonts w:hint="eastAsia" w:ascii="仿宋" w:hAnsi="仿宋" w:eastAsia="仿宋" w:cs="仿宋"/>
          <w:sz w:val="28"/>
          <w:szCs w:val="28"/>
          <w:lang w:eastAsia="zh-CN"/>
        </w:rPr>
        <w:t>，</w:t>
      </w:r>
      <w:r>
        <w:rPr>
          <w:rFonts w:hint="eastAsia" w:ascii="仿宋" w:hAnsi="仿宋" w:eastAsia="仿宋" w:cs="仿宋"/>
          <w:sz w:val="28"/>
          <w:szCs w:val="28"/>
        </w:rPr>
        <w:t>具</w:t>
      </w:r>
      <w:r>
        <w:rPr>
          <w:rFonts w:hint="eastAsia" w:ascii="仿宋" w:hAnsi="仿宋" w:eastAsia="仿宋" w:cs="仿宋"/>
          <w:sz w:val="28"/>
          <w:szCs w:val="28"/>
          <w:lang w:val="en-US" w:eastAsia="zh-CN"/>
        </w:rPr>
        <w:t>备建筑工程</w:t>
      </w:r>
      <w:r>
        <w:rPr>
          <w:rFonts w:hint="eastAsia" w:ascii="仿宋" w:hAnsi="仿宋" w:eastAsia="仿宋" w:cs="仿宋"/>
          <w:sz w:val="28"/>
          <w:szCs w:val="28"/>
        </w:rPr>
        <w:t>施工总承包三级及以上资质，具有有效安全生产许可证；</w:t>
      </w:r>
    </w:p>
    <w:p>
      <w:pPr>
        <w:pageBreakBefore w:val="0"/>
        <w:kinsoku/>
        <w:wordWrap/>
        <w:overflowPunct/>
        <w:topLinePunct w:val="0"/>
        <w:autoSpaceDE/>
        <w:autoSpaceDN/>
        <w:bidi w:val="0"/>
        <w:adjustRightInd/>
        <w:snapToGrid/>
        <w:spacing w:line="460" w:lineRule="exact"/>
        <w:textAlignment w:val="auto"/>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eastAsia="zh-CN"/>
        </w:rPr>
        <w:t>拟派项目经理（建造师）应具有建筑工程专业二级及以上注册建造师证书，并同时具有有效的安全考核合格B级证书</w:t>
      </w:r>
      <w:r>
        <w:rPr>
          <w:rFonts w:hint="eastAsia" w:ascii="仿宋" w:hAnsi="仿宋" w:eastAsia="仿宋" w:cs="仿宋"/>
          <w:sz w:val="28"/>
          <w:szCs w:val="28"/>
        </w:rPr>
        <w:t>；无在建工程（提供无在建承诺函，格式参考附件）。</w:t>
      </w:r>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、供应商存在以下不良信用记录情形之一的，不得推荐为成交候选供应商，不得确定为成交供应商：</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(1）供应商被人民法院列入失信被执行人的；</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(2）供应商被市场监督管理部门列入企业经营异常名录的；</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(4）供应商被政府采购监管部门列入政府采购严重违法失信行为记录名单的。</w:t>
      </w:r>
      <w:r>
        <w:rPr>
          <w:rFonts w:hint="eastAsia" w:ascii="仿宋" w:hAnsi="仿宋" w:eastAsia="仿宋" w:cs="仿宋"/>
          <w:sz w:val="28"/>
          <w:szCs w:val="28"/>
          <w:lang w:val="en-US" w:eastAsia="zh-CN"/>
        </w:rPr>
        <w:t xml:space="preserve">  </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w:t>
      </w:r>
      <w:r>
        <w:rPr>
          <w:rFonts w:hint="eastAsia" w:ascii="仿宋" w:hAnsi="仿宋" w:eastAsia="仿宋" w:cs="仿宋"/>
          <w:kern w:val="2"/>
          <w:sz w:val="28"/>
          <w:szCs w:val="28"/>
          <w:lang w:val="en-US" w:eastAsia="zh-CN" w:bidi="ar-SA"/>
        </w:rPr>
        <w:t>项目经理（建造师）及项目班子组成人员必须是本单位工作人员。承包人需提供所属社保机构出具的包括谈判截止日所属月份（含）为基点起往前计算已经过去的连续5个月内不少于连续缴费3个月的拟委任的项目经理、技术负责人、施工员、安全员、质量员的社保缴费清单等社保缴费证明原件（例：7月19日发包，则连续5个月是指7月、6月、5月、4月、3月；连续3个月是指7月、6月、5月或6月、5月、4月或5月、4月、3月，其他类推）。社保缴费证明或提供的社保缴费证明不满足谈判文件要求的，其响应资格无效（如年满60周岁无法提供社保缴费证明的，可提供聘用合同原件扫描件和包括投标截止日所属月份（含）为基点起往前计算已经过去的连续5个月内不少于连续发放3个月的加盖银行印章的能体现聘用企业名称及拟委任项目经理姓名的工资打卡流水账单原件扫描件）。</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16" w:name="_Toc15899"/>
      <w:bookmarkStart w:id="17" w:name="_Toc35393631"/>
      <w:bookmarkStart w:id="18" w:name="_Toc35393800"/>
      <w:r>
        <w:rPr>
          <w:rFonts w:hint="eastAsia" w:ascii="黑体" w:hAnsi="黑体" w:cs="黑体"/>
          <w:b w:val="0"/>
          <w:bCs/>
          <w:sz w:val="28"/>
          <w:szCs w:val="28"/>
        </w:rPr>
        <w:t>三、获取采购文件</w:t>
      </w:r>
      <w:bookmarkEnd w:id="14"/>
      <w:bookmarkEnd w:id="15"/>
      <w:bookmarkEnd w:id="16"/>
      <w:bookmarkEnd w:id="17"/>
      <w:bookmarkEnd w:id="18"/>
    </w:p>
    <w:p>
      <w:pPr>
        <w:spacing w:line="480" w:lineRule="exact"/>
        <w:rPr>
          <w:rFonts w:ascii="仿宋" w:hAnsi="仿宋" w:eastAsia="仿宋" w:cs="仿宋"/>
          <w:sz w:val="28"/>
          <w:szCs w:val="28"/>
        </w:rPr>
      </w:pPr>
      <w:bookmarkStart w:id="19" w:name="_Toc35393801"/>
      <w:bookmarkStart w:id="20" w:name="_Toc28359092"/>
      <w:bookmarkStart w:id="21" w:name="_Toc35393632"/>
      <w:bookmarkStart w:id="22" w:name="_Toc28359015"/>
      <w:bookmarkStart w:id="23" w:name="_Toc13207"/>
      <w:r>
        <w:rPr>
          <w:rFonts w:hint="eastAsia" w:ascii="仿宋" w:hAnsi="仿宋" w:eastAsia="仿宋" w:cs="仿宋"/>
          <w:sz w:val="28"/>
          <w:szCs w:val="28"/>
        </w:rPr>
        <w:t>1、时间：自公告发布之日起至谈判时间前</w:t>
      </w:r>
    </w:p>
    <w:p>
      <w:pPr>
        <w:spacing w:line="480" w:lineRule="exact"/>
        <w:rPr>
          <w:rFonts w:ascii="仿宋" w:hAnsi="仿宋" w:eastAsia="仿宋" w:cs="仿宋"/>
          <w:sz w:val="28"/>
          <w:szCs w:val="28"/>
        </w:rPr>
      </w:pPr>
      <w:r>
        <w:rPr>
          <w:rFonts w:hint="eastAsia" w:ascii="仿宋" w:hAnsi="仿宋" w:eastAsia="仿宋" w:cs="仿宋"/>
          <w:sz w:val="28"/>
          <w:szCs w:val="28"/>
        </w:rPr>
        <w:t>2、地点：</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w:t>
      </w:r>
    </w:p>
    <w:p>
      <w:pPr>
        <w:spacing w:line="480" w:lineRule="exact"/>
        <w:rPr>
          <w:rFonts w:ascii="仿宋" w:hAnsi="仿宋" w:eastAsia="仿宋" w:cs="仿宋"/>
          <w:sz w:val="28"/>
          <w:szCs w:val="28"/>
        </w:rPr>
      </w:pPr>
      <w:r>
        <w:rPr>
          <w:rFonts w:hint="eastAsia" w:ascii="仿宋" w:hAnsi="仿宋" w:eastAsia="仿宋" w:cs="仿宋"/>
          <w:sz w:val="28"/>
          <w:szCs w:val="28"/>
        </w:rPr>
        <w:t>3、获取方式：本项目谈判文件（答疑澄清等相关文件资料）均由供应商从公告发布网站自行下载。</w:t>
      </w:r>
    </w:p>
    <w:p>
      <w:pPr>
        <w:spacing w:line="480" w:lineRule="exact"/>
        <w:rPr>
          <w:rFonts w:ascii="仿宋" w:hAnsi="仿宋" w:eastAsia="仿宋" w:cs="仿宋"/>
          <w:sz w:val="28"/>
          <w:szCs w:val="28"/>
        </w:rPr>
      </w:pPr>
      <w:r>
        <w:rPr>
          <w:rFonts w:hint="eastAsia" w:ascii="仿宋" w:hAnsi="仿宋" w:eastAsia="仿宋" w:cs="仿宋"/>
          <w:sz w:val="28"/>
          <w:szCs w:val="28"/>
        </w:rPr>
        <w:t>4、售价：零元</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r>
        <w:rPr>
          <w:rFonts w:hint="eastAsia" w:ascii="黑体" w:hAnsi="黑体" w:cs="黑体"/>
          <w:b w:val="0"/>
          <w:bCs/>
          <w:sz w:val="28"/>
          <w:szCs w:val="28"/>
        </w:rPr>
        <w:t>四、响应文件</w:t>
      </w:r>
      <w:bookmarkEnd w:id="19"/>
      <w:bookmarkEnd w:id="20"/>
      <w:bookmarkEnd w:id="21"/>
      <w:bookmarkEnd w:id="22"/>
      <w:r>
        <w:rPr>
          <w:rFonts w:hint="eastAsia" w:ascii="黑体" w:hAnsi="黑体" w:cs="黑体"/>
          <w:b w:val="0"/>
          <w:bCs/>
          <w:sz w:val="28"/>
          <w:szCs w:val="28"/>
        </w:rPr>
        <w:t>提交</w:t>
      </w:r>
      <w:bookmarkEnd w:id="23"/>
    </w:p>
    <w:p>
      <w:pPr>
        <w:spacing w:line="480" w:lineRule="exact"/>
        <w:rPr>
          <w:rFonts w:ascii="仿宋" w:hAnsi="仿宋" w:eastAsia="仿宋" w:cs="仿宋"/>
          <w:sz w:val="28"/>
          <w:szCs w:val="28"/>
        </w:rPr>
      </w:pPr>
      <w:r>
        <w:rPr>
          <w:rFonts w:hint="eastAsia" w:ascii="仿宋" w:hAnsi="仿宋" w:eastAsia="仿宋" w:cs="仿宋"/>
          <w:sz w:val="28"/>
          <w:szCs w:val="28"/>
        </w:rPr>
        <w:t>1、递交截止时间：</w:t>
      </w:r>
      <w:r>
        <w:rPr>
          <w:rFonts w:hint="eastAsia" w:ascii="仿宋" w:hAnsi="仿宋" w:eastAsia="仿宋" w:cs="仿宋"/>
          <w:color w:val="000000" w:themeColor="text1"/>
          <w:sz w:val="28"/>
          <w:szCs w:val="28"/>
          <w14:textFill>
            <w14:solidFill>
              <w14:schemeClr w14:val="tx1"/>
            </w14:solidFill>
          </w14:textFill>
        </w:rPr>
        <w:t>202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31</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t>点</w:t>
      </w:r>
      <w:r>
        <w:rPr>
          <w:rFonts w:hint="eastAsia" w:ascii="仿宋" w:hAnsi="仿宋" w:eastAsia="仿宋" w:cs="仿宋"/>
          <w:color w:val="000000" w:themeColor="text1"/>
          <w:sz w:val="28"/>
          <w:szCs w:val="28"/>
          <w:lang w:val="en-US" w:eastAsia="zh-CN"/>
          <w14:textFill>
            <w14:solidFill>
              <w14:schemeClr w14:val="tx1"/>
            </w14:solidFill>
          </w14:textFill>
        </w:rPr>
        <w:t>30</w:t>
      </w:r>
      <w:r>
        <w:rPr>
          <w:rFonts w:hint="eastAsia" w:ascii="仿宋" w:hAnsi="仿宋" w:eastAsia="仿宋" w:cs="仿宋"/>
          <w:color w:val="000000" w:themeColor="text1"/>
          <w:sz w:val="28"/>
          <w:szCs w:val="28"/>
          <w14:textFill>
            <w14:solidFill>
              <w14:schemeClr w14:val="tx1"/>
            </w14:solidFill>
          </w14:textFill>
        </w:rPr>
        <w:t>分（北京时间）</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2、递交方式：</w:t>
      </w:r>
      <w:r>
        <w:rPr>
          <w:rFonts w:hint="eastAsia" w:ascii="仿宋" w:hAnsi="仿宋" w:eastAsia="仿宋" w:cs="仿宋"/>
          <w:sz w:val="28"/>
          <w:szCs w:val="28"/>
          <w:lang w:val="en-US" w:eastAsia="zh-CN"/>
        </w:rPr>
        <w:t>现场递交</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24" w:name="_Toc28359016"/>
      <w:bookmarkStart w:id="25" w:name="_Toc35393633"/>
      <w:bookmarkStart w:id="26" w:name="_Toc35393802"/>
      <w:bookmarkStart w:id="27" w:name="_Toc28359093"/>
      <w:bookmarkStart w:id="28" w:name="_Toc31128"/>
      <w:r>
        <w:rPr>
          <w:rFonts w:hint="eastAsia" w:ascii="黑体" w:hAnsi="黑体" w:cs="黑体"/>
          <w:b w:val="0"/>
          <w:bCs/>
          <w:sz w:val="28"/>
          <w:szCs w:val="28"/>
        </w:rPr>
        <w:t>五、响应文件开启</w:t>
      </w:r>
      <w:bookmarkEnd w:id="24"/>
      <w:bookmarkEnd w:id="25"/>
      <w:bookmarkEnd w:id="26"/>
      <w:bookmarkEnd w:id="27"/>
      <w:bookmarkEnd w:id="28"/>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bookmarkStart w:id="29" w:name="_Toc35393803"/>
      <w:bookmarkStart w:id="30" w:name="_Toc25132"/>
      <w:bookmarkStart w:id="31" w:name="_Toc28359017"/>
      <w:bookmarkStart w:id="32" w:name="_Toc35393634"/>
      <w:bookmarkStart w:id="33" w:name="_Toc28359094"/>
      <w:r>
        <w:rPr>
          <w:rFonts w:hint="eastAsia" w:ascii="仿宋" w:hAnsi="仿宋" w:eastAsia="仿宋" w:cs="仿宋"/>
          <w:sz w:val="28"/>
          <w:szCs w:val="28"/>
        </w:rPr>
        <w:t>1、开启时间：202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w:t>
      </w:r>
      <w:r>
        <w:rPr>
          <w:rFonts w:hint="eastAsia" w:ascii="仿宋" w:hAnsi="仿宋" w:eastAsia="仿宋" w:cs="仿宋"/>
          <w:sz w:val="28"/>
          <w:szCs w:val="28"/>
          <w:lang w:val="en-US" w:eastAsia="zh-CN"/>
        </w:rPr>
        <w:t>15</w:t>
      </w:r>
      <w:r>
        <w:rPr>
          <w:rFonts w:hint="eastAsia" w:ascii="仿宋" w:hAnsi="仿宋" w:eastAsia="仿宋" w:cs="仿宋"/>
          <w:sz w:val="28"/>
          <w:szCs w:val="28"/>
        </w:rPr>
        <w:t>点</w:t>
      </w:r>
      <w:r>
        <w:rPr>
          <w:rFonts w:hint="eastAsia" w:ascii="仿宋" w:hAnsi="仿宋" w:eastAsia="仿宋" w:cs="仿宋"/>
          <w:sz w:val="28"/>
          <w:szCs w:val="28"/>
          <w:lang w:val="en-US" w:eastAsia="zh-CN"/>
        </w:rPr>
        <w:t>30</w:t>
      </w:r>
      <w:r>
        <w:rPr>
          <w:rFonts w:hint="eastAsia" w:ascii="仿宋" w:hAnsi="仿宋" w:eastAsia="仿宋" w:cs="仿宋"/>
          <w:sz w:val="28"/>
          <w:szCs w:val="28"/>
        </w:rPr>
        <w:t>分（北京时间）</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2、开启地点：</w:t>
      </w:r>
      <w:r>
        <w:rPr>
          <w:rFonts w:hint="eastAsia" w:ascii="仿宋" w:hAnsi="仿宋" w:eastAsia="仿宋" w:cs="仿宋"/>
          <w:sz w:val="28"/>
          <w:szCs w:val="28"/>
          <w:lang w:eastAsia="zh-CN"/>
        </w:rPr>
        <w:t>霍山永达工程咨询有限公司三楼开标厅</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r>
        <w:rPr>
          <w:rFonts w:hint="eastAsia" w:ascii="黑体" w:hAnsi="黑体" w:cs="黑体"/>
          <w:b w:val="0"/>
          <w:bCs/>
          <w:sz w:val="28"/>
          <w:szCs w:val="28"/>
        </w:rPr>
        <w:t>六、公告期限</w:t>
      </w:r>
      <w:bookmarkEnd w:id="29"/>
      <w:bookmarkEnd w:id="30"/>
      <w:bookmarkEnd w:id="31"/>
      <w:bookmarkEnd w:id="32"/>
      <w:bookmarkEnd w:id="33"/>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自本公告发布之日起3个工作日。</w:t>
      </w:r>
    </w:p>
    <w:p>
      <w:pPr>
        <w:pageBreakBefore w:val="0"/>
        <w:kinsoku/>
        <w:wordWrap/>
        <w:overflowPunct/>
        <w:topLinePunct w:val="0"/>
        <w:autoSpaceDE/>
        <w:autoSpaceDN/>
        <w:bidi w:val="0"/>
        <w:adjustRightInd/>
        <w:snapToGrid/>
        <w:spacing w:line="460" w:lineRule="exact"/>
        <w:textAlignment w:val="auto"/>
        <w:rPr>
          <w:rFonts w:ascii="黑体" w:hAnsi="黑体" w:eastAsia="黑体" w:cs="黑体"/>
          <w:sz w:val="28"/>
          <w:szCs w:val="28"/>
        </w:rPr>
      </w:pPr>
      <w:r>
        <w:rPr>
          <w:rFonts w:hint="eastAsia" w:ascii="黑体" w:hAnsi="黑体" w:eastAsia="黑体" w:cs="黑体"/>
          <w:sz w:val="28"/>
          <w:szCs w:val="28"/>
        </w:rPr>
        <w:t>七、</w:t>
      </w:r>
      <w:bookmarkStart w:id="34" w:name="_Toc35393635"/>
      <w:bookmarkStart w:id="35" w:name="_Toc35393804"/>
      <w:r>
        <w:rPr>
          <w:rFonts w:hint="eastAsia" w:ascii="黑体" w:hAnsi="黑体" w:eastAsia="黑体" w:cs="黑体"/>
          <w:sz w:val="28"/>
          <w:szCs w:val="28"/>
        </w:rPr>
        <w:t>其他事宜</w:t>
      </w:r>
      <w:bookmarkEnd w:id="34"/>
      <w:bookmarkEnd w:id="35"/>
      <w:bookmarkStart w:id="36" w:name="_Toc28359095"/>
      <w:bookmarkStart w:id="37" w:name="_Toc35393805"/>
      <w:bookmarkStart w:id="38" w:name="_Toc35393636"/>
      <w:bookmarkStart w:id="39" w:name="_Toc28359018"/>
    </w:p>
    <w:p>
      <w:pPr>
        <w:spacing w:line="460" w:lineRule="exact"/>
        <w:ind w:firstLine="560" w:firstLineChars="200"/>
        <w:rPr>
          <w:rFonts w:ascii="仿宋" w:hAnsi="仿宋" w:eastAsia="仿宋" w:cs="仿宋"/>
          <w:kern w:val="0"/>
          <w:sz w:val="28"/>
          <w:szCs w:val="28"/>
        </w:rPr>
      </w:pPr>
      <w:bookmarkStart w:id="40" w:name="_Toc21256"/>
      <w:r>
        <w:rPr>
          <w:rFonts w:hint="eastAsia" w:ascii="仿宋" w:hAnsi="仿宋" w:eastAsia="仿宋" w:cs="仿宋"/>
          <w:sz w:val="28"/>
          <w:szCs w:val="28"/>
        </w:rPr>
        <w:t>1、供应商应当按照本项目采购文件规定的时间和地点参与谈判，供应商仅确定一名人员参加：法定代表人持本人二代居民身份证原件和法定代表人身份证明、及本人近三个月社保证明材料（或授权委托代理人持本人二代居民身份证原件和法人授权委托书原件、委托人近三个月社保证明材料），凡不能出示上述有效证件、社保证明材料或到场人员与证件、社保证明载明的人员不一致或未出席谈判会议者，响应文件不予接受，谈判资格无效。近三个月社保的认定方法与前述关于项目经理等的社保认定方法相同。凡开标现场提供查验的委托人或法人代表的社保证明材料不清晰无法辨认，或社保证明材料未提供查验二维码或其他验真码无法验证真实性的，均不予认可，响应文件不予接受，谈判资格无效。</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2、答疑：供应商如果对本项目内容有相关疑问，可以以邮件形式提出，对采购文件进行的澄清、更正或更改，将在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）网站上及时发布，该公告内容为采购文件的组成部分，对供应商具有同样约束力效力。供应商应主动上网查询，供应商须自行承担因未及时关注相关信息而引发的相关责任。</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3、本项目相关公告在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）网站发布，请各位供应商注意查看有关竞争性谈判公告、答疑澄清等相关文件资料，如不及时查看造成后果由供应商自负。</w:t>
      </w:r>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黑体" w:hAnsi="黑体" w:eastAsia="黑体" w:cs="黑体"/>
          <w:b w:val="0"/>
          <w:bCs/>
          <w:sz w:val="28"/>
          <w:szCs w:val="28"/>
          <w:lang w:val="en-US" w:eastAsia="zh-CN"/>
        </w:rPr>
      </w:pPr>
      <w:r>
        <w:rPr>
          <w:rFonts w:hint="eastAsia" w:ascii="仿宋" w:hAnsi="仿宋" w:eastAsia="仿宋" w:cs="仿宋"/>
          <w:sz w:val="28"/>
          <w:szCs w:val="28"/>
        </w:rPr>
        <w:t>4、严禁恶意低价或恶意高价竞标，对恶意低价或恶意高价竞标的，采购人有权进行调查处理，经查证属实的，其响应资格无效，同时给予限制投标资格等处理。</w:t>
      </w:r>
    </w:p>
    <w:p>
      <w:pPr>
        <w:pStyle w:val="4"/>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sz w:val="28"/>
          <w:szCs w:val="28"/>
        </w:rPr>
      </w:pPr>
      <w:r>
        <w:rPr>
          <w:rFonts w:hint="eastAsia" w:ascii="黑体" w:hAnsi="黑体" w:cs="黑体"/>
          <w:b w:val="0"/>
          <w:bCs/>
          <w:sz w:val="28"/>
          <w:szCs w:val="28"/>
        </w:rPr>
        <w:t>八、凡对本次采购提出询问，请按以下方式联系。</w:t>
      </w:r>
      <w:bookmarkEnd w:id="36"/>
      <w:bookmarkEnd w:id="37"/>
      <w:bookmarkEnd w:id="38"/>
      <w:bookmarkEnd w:id="39"/>
      <w:bookmarkEnd w:id="40"/>
    </w:p>
    <w:p>
      <w:pPr>
        <w:pStyle w:val="4"/>
        <w:pageBreakBefore w:val="0"/>
        <w:kinsoku/>
        <w:wordWrap/>
        <w:overflowPunct/>
        <w:topLinePunct w:val="0"/>
        <w:autoSpaceDE/>
        <w:autoSpaceDN/>
        <w:bidi w:val="0"/>
        <w:adjustRightInd/>
        <w:snapToGrid/>
        <w:spacing w:before="0" w:after="0" w:line="420" w:lineRule="exact"/>
        <w:jc w:val="both"/>
        <w:textAlignment w:val="auto"/>
        <w:rPr>
          <w:rFonts w:ascii="仿宋" w:hAnsi="仿宋" w:eastAsia="仿宋" w:cs="仿宋"/>
          <w:b w:val="0"/>
          <w:bCs/>
          <w:sz w:val="28"/>
          <w:szCs w:val="28"/>
        </w:rPr>
      </w:pPr>
      <w:bookmarkStart w:id="41" w:name="_Toc35393637"/>
      <w:bookmarkStart w:id="42" w:name="_Toc35393806"/>
      <w:bookmarkStart w:id="43" w:name="_Toc28359096"/>
      <w:bookmarkStart w:id="44" w:name="_Toc28359019"/>
      <w:bookmarkStart w:id="45" w:name="_Toc12167"/>
      <w:r>
        <w:rPr>
          <w:rFonts w:hint="eastAsia" w:ascii="仿宋" w:hAnsi="仿宋" w:eastAsia="仿宋" w:cs="仿宋"/>
          <w:b w:val="0"/>
          <w:bCs/>
          <w:sz w:val="28"/>
          <w:szCs w:val="28"/>
        </w:rPr>
        <w:t>1、采购人信息</w:t>
      </w:r>
      <w:bookmarkEnd w:id="41"/>
      <w:bookmarkEnd w:id="42"/>
      <w:bookmarkEnd w:id="43"/>
      <w:bookmarkEnd w:id="44"/>
      <w:bookmarkEnd w:id="45"/>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sz w:val="28"/>
          <w:szCs w:val="28"/>
          <w:lang w:eastAsia="zh-CN"/>
        </w:rPr>
      </w:pPr>
      <w:bookmarkStart w:id="46" w:name="_Toc28359020"/>
      <w:bookmarkStart w:id="47" w:name="_Toc35393807"/>
      <w:bookmarkStart w:id="48" w:name="_Toc35393638"/>
      <w:bookmarkStart w:id="49" w:name="_Toc28359097"/>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霍山县中医院医共体集团磨子潭分院</w:t>
      </w:r>
    </w:p>
    <w:p>
      <w:pPr>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pacing w:val="-11"/>
          <w:kern w:val="11"/>
          <w:sz w:val="28"/>
          <w:szCs w:val="28"/>
          <w:lang w:val="en-US" w:eastAsia="zh-CN"/>
        </w:rPr>
      </w:pPr>
      <w:r>
        <w:rPr>
          <w:rFonts w:hint="eastAsia" w:ascii="仿宋" w:hAnsi="仿宋" w:eastAsia="仿宋" w:cs="仿宋"/>
          <w:bCs/>
          <w:sz w:val="28"/>
          <w:szCs w:val="28"/>
        </w:rPr>
        <w:t>地址：</w:t>
      </w:r>
      <w:r>
        <w:rPr>
          <w:rFonts w:hint="eastAsia" w:ascii="仿宋" w:hAnsi="仿宋" w:eastAsia="仿宋" w:cs="仿宋"/>
          <w:bCs/>
          <w:spacing w:val="-11"/>
          <w:kern w:val="11"/>
          <w:sz w:val="28"/>
          <w:szCs w:val="28"/>
          <w:lang w:eastAsia="zh-CN"/>
        </w:rPr>
        <w:t>霍山县</w:t>
      </w:r>
      <w:r>
        <w:rPr>
          <w:rFonts w:hint="eastAsia" w:ascii="仿宋" w:hAnsi="仿宋" w:eastAsia="仿宋" w:cs="仿宋"/>
          <w:bCs/>
          <w:spacing w:val="-11"/>
          <w:kern w:val="11"/>
          <w:sz w:val="28"/>
          <w:szCs w:val="28"/>
          <w:lang w:val="en-US" w:eastAsia="zh-CN"/>
        </w:rPr>
        <w:t>磨子潭镇</w:t>
      </w:r>
    </w:p>
    <w:p>
      <w:pPr>
        <w:pageBreakBefore w:val="0"/>
        <w:kinsoku/>
        <w:wordWrap/>
        <w:overflowPunct/>
        <w:topLinePunct w:val="0"/>
        <w:autoSpaceDE/>
        <w:autoSpaceDN/>
        <w:bidi w:val="0"/>
        <w:adjustRightInd/>
        <w:snapToGrid/>
        <w:spacing w:line="420" w:lineRule="exact"/>
        <w:ind w:left="559" w:leftChars="266" w:firstLine="0" w:firstLineChars="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rPr>
        <w:t>联系电话</w:t>
      </w:r>
      <w:r>
        <w:rPr>
          <w:rFonts w:hint="eastAsia" w:ascii="仿宋" w:hAnsi="仿宋" w:eastAsia="仿宋" w:cs="仿宋"/>
          <w:bCs/>
          <w:spacing w:val="-11"/>
          <w:kern w:val="11"/>
          <w:sz w:val="28"/>
          <w:szCs w:val="28"/>
          <w:lang w:eastAsia="zh-CN"/>
        </w:rPr>
        <w:t>：</w:t>
      </w:r>
      <w:r>
        <w:rPr>
          <w:rFonts w:hint="eastAsia" w:ascii="仿宋" w:hAnsi="仿宋" w:eastAsia="仿宋" w:cs="仿宋"/>
          <w:bCs/>
          <w:spacing w:val="-11"/>
          <w:kern w:val="11"/>
          <w:sz w:val="28"/>
          <w:szCs w:val="28"/>
          <w:lang w:val="en-US" w:eastAsia="zh-CN"/>
        </w:rPr>
        <w:t>13516490199</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sz w:val="28"/>
          <w:szCs w:val="28"/>
        </w:rPr>
      </w:pPr>
      <w:r>
        <w:rPr>
          <w:rFonts w:hint="eastAsia" w:ascii="仿宋" w:hAnsi="仿宋" w:eastAsia="仿宋" w:cs="仿宋"/>
          <w:bCs/>
          <w:sz w:val="28"/>
          <w:szCs w:val="28"/>
        </w:rPr>
        <w:t>2、采购代理机构信息</w:t>
      </w:r>
      <w:bookmarkEnd w:id="46"/>
      <w:bookmarkEnd w:id="47"/>
      <w:bookmarkEnd w:id="48"/>
      <w:bookmarkEnd w:id="49"/>
      <w:bookmarkStart w:id="50" w:name="_Toc28359021"/>
      <w:bookmarkStart w:id="51" w:name="_Toc28359098"/>
      <w:bookmarkStart w:id="52" w:name="_Toc35393639"/>
      <w:bookmarkStart w:id="53" w:name="_Toc35393808"/>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霍山永达工程咨询有限公司</w:t>
      </w:r>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地址：</w:t>
      </w:r>
      <w:r>
        <w:rPr>
          <w:rFonts w:hint="eastAsia" w:ascii="仿宋" w:hAnsi="仿宋" w:eastAsia="仿宋" w:cs="仿宋"/>
          <w:bCs/>
          <w:sz w:val="28"/>
          <w:szCs w:val="28"/>
          <w:lang w:val="en-US" w:eastAsia="zh-CN"/>
        </w:rPr>
        <w:t>霍山县中兴南路14号</w:t>
      </w:r>
      <w:r>
        <w:rPr>
          <w:rFonts w:hint="eastAsia" w:ascii="仿宋" w:hAnsi="仿宋" w:eastAsia="仿宋" w:cs="仿宋"/>
          <w:bCs/>
          <w:sz w:val="28"/>
          <w:szCs w:val="28"/>
        </w:rPr>
        <w:t xml:space="preserve"> </w:t>
      </w:r>
    </w:p>
    <w:p>
      <w:pPr>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联系方式：</w:t>
      </w:r>
      <w:r>
        <w:rPr>
          <w:rFonts w:hint="eastAsia" w:ascii="仿宋" w:hAnsi="仿宋" w:eastAsia="仿宋" w:cs="仿宋"/>
          <w:bCs/>
          <w:sz w:val="28"/>
          <w:szCs w:val="28"/>
          <w:lang w:val="en-US" w:eastAsia="zh-CN"/>
        </w:rPr>
        <w:t>0564-5022803、18005649621</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sz w:val="28"/>
          <w:szCs w:val="28"/>
        </w:rPr>
      </w:pPr>
      <w:r>
        <w:rPr>
          <w:rFonts w:hint="eastAsia" w:ascii="仿宋" w:hAnsi="仿宋" w:eastAsia="仿宋" w:cs="仿宋"/>
          <w:bCs/>
          <w:sz w:val="28"/>
          <w:szCs w:val="28"/>
        </w:rPr>
        <w:t>3、项目联系方式</w:t>
      </w:r>
      <w:bookmarkEnd w:id="50"/>
      <w:bookmarkEnd w:id="51"/>
      <w:bookmarkEnd w:id="52"/>
      <w:bookmarkEnd w:id="53"/>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项目联系人：</w:t>
      </w:r>
      <w:r>
        <w:rPr>
          <w:rFonts w:hint="eastAsia" w:ascii="仿宋" w:hAnsi="仿宋" w:eastAsia="仿宋" w:cs="仿宋"/>
          <w:bCs/>
          <w:sz w:val="28"/>
          <w:szCs w:val="28"/>
          <w:lang w:val="en-US" w:eastAsia="zh-CN"/>
        </w:rPr>
        <w:t>鲍先生</w:t>
      </w:r>
      <w:r>
        <w:rPr>
          <w:rFonts w:hint="eastAsia" w:ascii="仿宋" w:hAnsi="仿宋" w:eastAsia="仿宋" w:cs="仿宋"/>
          <w:bCs/>
          <w:sz w:val="28"/>
          <w:szCs w:val="28"/>
          <w:lang w:val="en-US" w:eastAsia="zh-CN"/>
        </w:rPr>
        <w:tab/>
      </w:r>
      <w:r>
        <w:rPr>
          <w:rFonts w:hint="eastAsia" w:ascii="仿宋" w:hAnsi="仿宋" w:eastAsia="仿宋" w:cs="仿宋"/>
          <w:bCs/>
          <w:sz w:val="28"/>
          <w:szCs w:val="28"/>
          <w:lang w:val="en-US" w:eastAsia="zh-CN"/>
        </w:rPr>
        <w:t>电话：0564-5022803</w:t>
      </w:r>
    </w:p>
    <w:p>
      <w:pPr>
        <w:pageBreakBefore w:val="0"/>
        <w:widowControl/>
        <w:kinsoku/>
        <w:wordWrap/>
        <w:overflowPunct/>
        <w:topLinePunct w:val="0"/>
        <w:autoSpaceDE/>
        <w:autoSpaceDN/>
        <w:bidi w:val="0"/>
        <w:adjustRightInd/>
        <w:snapToGrid/>
        <w:spacing w:line="460" w:lineRule="exact"/>
        <w:ind w:firstLine="560" w:firstLineChars="200"/>
        <w:jc w:val="right"/>
        <w:textAlignment w:val="auto"/>
        <w:rPr>
          <w:rFonts w:ascii="仿宋" w:hAnsi="仿宋" w:eastAsia="仿宋" w:cs="仿宋"/>
          <w:bCs/>
          <w:sz w:val="28"/>
          <w:szCs w:val="28"/>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3</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8</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28</w:t>
      </w:r>
      <w:bookmarkStart w:id="108" w:name="_GoBack"/>
      <w:bookmarkEnd w:id="108"/>
      <w:r>
        <w:rPr>
          <w:rFonts w:hint="eastAsia" w:ascii="仿宋" w:hAnsi="仿宋" w:eastAsia="仿宋" w:cs="仿宋"/>
          <w:bCs/>
          <w:sz w:val="28"/>
          <w:szCs w:val="28"/>
        </w:rPr>
        <w:t>日</w:t>
      </w:r>
    </w:p>
    <w:p>
      <w:pPr>
        <w:rPr>
          <w:rFonts w:hint="eastAsia" w:ascii="宋体" w:hAnsi="宋体" w:eastAsia="宋体" w:cs="宋体"/>
          <w:sz w:val="28"/>
          <w:szCs w:val="28"/>
        </w:rPr>
      </w:pPr>
      <w:bookmarkStart w:id="54" w:name="_Toc18386"/>
      <w:r>
        <w:rPr>
          <w:rFonts w:hint="eastAsia" w:ascii="宋体" w:hAnsi="宋体" w:eastAsia="宋体" w:cs="宋体"/>
          <w:sz w:val="28"/>
          <w:szCs w:val="28"/>
        </w:rPr>
        <w:br w:type="page"/>
      </w:r>
    </w:p>
    <w:p>
      <w:pPr>
        <w:pStyle w:val="4"/>
        <w:spacing w:before="156" w:beforeLines="50" w:after="156" w:afterLines="50" w:line="560" w:lineRule="exact"/>
        <w:jc w:val="center"/>
        <w:rPr>
          <w:rFonts w:ascii="宋体" w:hAnsi="宋体" w:eastAsia="宋体" w:cs="宋体"/>
          <w:sz w:val="28"/>
          <w:szCs w:val="28"/>
        </w:rPr>
      </w:pPr>
      <w:r>
        <w:rPr>
          <w:rFonts w:hint="eastAsia" w:ascii="宋体" w:hAnsi="宋体" w:eastAsia="宋体" w:cs="宋体"/>
          <w:sz w:val="28"/>
          <w:szCs w:val="28"/>
        </w:rPr>
        <w:t>一、供应商须知</w:t>
      </w:r>
      <w:bookmarkEnd w:id="2"/>
      <w:bookmarkEnd w:id="3"/>
      <w:bookmarkEnd w:id="54"/>
    </w:p>
    <w:p>
      <w:pPr>
        <w:pStyle w:val="4"/>
        <w:spacing w:before="0" w:after="0" w:line="560" w:lineRule="exact"/>
        <w:jc w:val="center"/>
        <w:rPr>
          <w:rFonts w:ascii="宋体" w:hAnsi="宋体" w:eastAsia="宋体" w:cs="宋体"/>
          <w:sz w:val="24"/>
          <w:szCs w:val="24"/>
        </w:rPr>
      </w:pPr>
      <w:bookmarkStart w:id="55" w:name="_Toc6858"/>
      <w:r>
        <w:rPr>
          <w:rFonts w:hint="eastAsia" w:ascii="宋体" w:hAnsi="宋体" w:eastAsia="宋体" w:cs="宋体"/>
          <w:sz w:val="24"/>
          <w:szCs w:val="24"/>
        </w:rPr>
        <w:t>（一）须知前附表</w:t>
      </w:r>
      <w:bookmarkEnd w:id="55"/>
    </w:p>
    <w:tbl>
      <w:tblPr>
        <w:tblStyle w:val="35"/>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13"/>
        <w:gridCol w:w="1720"/>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spacing w:line="440" w:lineRule="exact"/>
              <w:jc w:val="center"/>
              <w:rPr>
                <w:rFonts w:ascii="宋体" w:hAnsi="宋体"/>
                <w:b/>
                <w:sz w:val="24"/>
                <w:szCs w:val="24"/>
              </w:rPr>
            </w:pPr>
            <w:bookmarkStart w:id="56" w:name="_Toc438107743"/>
            <w:bookmarkStart w:id="57" w:name="_Toc363199267"/>
            <w:bookmarkStart w:id="58" w:name="_Toc216158627"/>
            <w:r>
              <w:rPr>
                <w:rFonts w:hint="eastAsia" w:ascii="宋体" w:hAnsi="宋体"/>
                <w:b/>
                <w:sz w:val="24"/>
                <w:szCs w:val="24"/>
              </w:rPr>
              <w:t>序号</w:t>
            </w:r>
          </w:p>
        </w:tc>
        <w:tc>
          <w:tcPr>
            <w:tcW w:w="1720"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227" w:type="dxa"/>
            <w:vAlign w:val="center"/>
          </w:tcPr>
          <w:p>
            <w:pPr>
              <w:pStyle w:val="100"/>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720" w:type="dxa"/>
            <w:vAlign w:val="center"/>
          </w:tcPr>
          <w:p>
            <w:pPr>
              <w:spacing w:line="440" w:lineRule="exact"/>
              <w:jc w:val="center"/>
              <w:rPr>
                <w:rFonts w:ascii="宋体" w:hAnsi="宋体"/>
                <w:sz w:val="24"/>
                <w:szCs w:val="24"/>
              </w:rPr>
            </w:pPr>
            <w:r>
              <w:rPr>
                <w:rFonts w:hint="eastAsia" w:ascii="宋体" w:hAnsi="宋体"/>
                <w:bCs/>
                <w:sz w:val="24"/>
                <w:szCs w:val="24"/>
              </w:rPr>
              <w:t>采购人</w:t>
            </w:r>
          </w:p>
        </w:tc>
        <w:tc>
          <w:tcPr>
            <w:tcW w:w="7227" w:type="dxa"/>
            <w:vAlign w:val="center"/>
          </w:tcPr>
          <w:p>
            <w:pPr>
              <w:spacing w:line="440" w:lineRule="exact"/>
              <w:rPr>
                <w:sz w:val="24"/>
                <w:szCs w:val="24"/>
              </w:rPr>
            </w:pPr>
            <w:r>
              <w:rPr>
                <w:rFonts w:hint="eastAsia"/>
                <w:sz w:val="24"/>
                <w:szCs w:val="24"/>
                <w:lang w:eastAsia="zh-CN"/>
              </w:rPr>
              <w:t>霍山县中医院医共体集团磨子潭分院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720"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227" w:type="dxa"/>
            <w:vAlign w:val="center"/>
          </w:tcPr>
          <w:p>
            <w:pPr>
              <w:spacing w:line="440" w:lineRule="exact"/>
              <w:jc w:val="left"/>
              <w:rPr>
                <w:rFonts w:ascii="宋体" w:hAnsi="宋体"/>
                <w:sz w:val="24"/>
                <w:szCs w:val="24"/>
              </w:rPr>
            </w:pPr>
            <w:r>
              <w:rPr>
                <w:rFonts w:hint="eastAsia" w:ascii="宋体" w:hAnsi="宋体"/>
                <w:sz w:val="24"/>
                <w:szCs w:val="24"/>
              </w:rPr>
              <w:t>名称：</w:t>
            </w:r>
            <w:r>
              <w:rPr>
                <w:rFonts w:hint="eastAsia" w:ascii="宋体" w:hAnsi="宋体"/>
                <w:sz w:val="24"/>
                <w:szCs w:val="24"/>
                <w:lang w:eastAsia="zh-CN"/>
              </w:rPr>
              <w:t>霍山永达工程咨询有限公司</w:t>
            </w:r>
            <w:r>
              <w:rPr>
                <w:rFonts w:ascii="宋体" w:hAnsi="宋体"/>
                <w:sz w:val="24"/>
                <w:szCs w:val="24"/>
              </w:rPr>
              <w:t xml:space="preserve"> </w:t>
            </w:r>
          </w:p>
          <w:p>
            <w:pPr>
              <w:spacing w:line="440" w:lineRule="exact"/>
              <w:jc w:val="left"/>
              <w:rPr>
                <w:rFonts w:hint="default"/>
                <w:b/>
                <w:bCs/>
                <w:sz w:val="24"/>
                <w:szCs w:val="24"/>
                <w:lang w:val="en-US"/>
              </w:rPr>
            </w:pPr>
            <w:r>
              <w:rPr>
                <w:rFonts w:hint="eastAsia"/>
                <w:sz w:val="24"/>
                <w:szCs w:val="24"/>
              </w:rPr>
              <w:t>地址：</w:t>
            </w:r>
            <w:r>
              <w:rPr>
                <w:rFonts w:hint="eastAsia"/>
                <w:sz w:val="24"/>
                <w:szCs w:val="24"/>
                <w:lang w:val="en-US" w:eastAsia="zh-CN"/>
              </w:rPr>
              <w:t>霍山县中兴南路14号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谈判有效期</w:t>
            </w:r>
          </w:p>
        </w:tc>
        <w:tc>
          <w:tcPr>
            <w:tcW w:w="7227" w:type="dxa"/>
            <w:vAlign w:val="center"/>
          </w:tcPr>
          <w:p>
            <w:pPr>
              <w:pStyle w:val="100"/>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项目类型</w:t>
            </w:r>
          </w:p>
        </w:tc>
        <w:tc>
          <w:tcPr>
            <w:tcW w:w="7227" w:type="dxa"/>
            <w:vAlign w:val="center"/>
          </w:tcPr>
          <w:p>
            <w:pPr>
              <w:pStyle w:val="100"/>
              <w:widowControl w:val="0"/>
              <w:spacing w:before="0" w:beforeAutospacing="0" w:after="0" w:afterAutospacing="0" w:line="440" w:lineRule="exact"/>
              <w:jc w:val="both"/>
              <w:rPr>
                <w:b w:val="0"/>
                <w:bCs w:val="0"/>
                <w:sz w:val="24"/>
                <w:szCs w:val="24"/>
              </w:rPr>
            </w:pPr>
            <w:r>
              <w:rPr>
                <w:rFonts w:hint="eastAsia"/>
                <w:b w:val="0"/>
                <w:bCs w:val="0"/>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227" w:type="dxa"/>
            <w:vAlign w:val="center"/>
          </w:tcPr>
          <w:p>
            <w:pPr>
              <w:pStyle w:val="100"/>
              <w:widowControl w:val="0"/>
              <w:spacing w:before="0" w:beforeAutospacing="0" w:after="0" w:afterAutospacing="0" w:line="440" w:lineRule="exact"/>
              <w:jc w:val="both"/>
              <w:rPr>
                <w:rFonts w:hint="eastAsia" w:eastAsia="宋体"/>
                <w:sz w:val="24"/>
                <w:szCs w:val="24"/>
                <w:lang w:eastAsia="zh-CN"/>
              </w:rPr>
            </w:pPr>
            <w:r>
              <w:rPr>
                <w:rFonts w:hint="eastAsia"/>
                <w:b w:val="0"/>
                <w:bCs w:val="0"/>
                <w:sz w:val="24"/>
                <w:szCs w:val="24"/>
                <w:lang w:eastAsia="zh-CN"/>
              </w:rPr>
              <w:t>磨子潭镇中心卫生院CT检查室、机房改造项目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7227" w:type="dxa"/>
            <w:vAlign w:val="center"/>
          </w:tcPr>
          <w:p>
            <w:pPr>
              <w:pStyle w:val="100"/>
              <w:widowControl w:val="0"/>
              <w:spacing w:before="0" w:beforeAutospacing="0" w:after="0" w:afterAutospacing="0" w:line="440" w:lineRule="exact"/>
              <w:jc w:val="both"/>
              <w:rPr>
                <w:rFonts w:hint="default" w:eastAsia="宋体"/>
                <w:b w:val="0"/>
                <w:bCs w:val="0"/>
                <w:sz w:val="24"/>
                <w:szCs w:val="24"/>
                <w:lang w:val="en-US" w:eastAsia="zh-CN"/>
              </w:rPr>
            </w:pPr>
            <w:r>
              <w:rPr>
                <w:rFonts w:hint="eastAsia"/>
                <w:b w:val="0"/>
                <w:bCs w:val="0"/>
                <w:sz w:val="24"/>
                <w:szCs w:val="24"/>
                <w:lang w:val="en-US" w:eastAsia="zh-CN"/>
              </w:rPr>
              <w:t>HSYD-2023-0804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32"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付款方式</w:t>
            </w:r>
          </w:p>
        </w:tc>
        <w:tc>
          <w:tcPr>
            <w:tcW w:w="7227" w:type="dxa"/>
            <w:vAlign w:val="center"/>
          </w:tcPr>
          <w:p>
            <w:pPr>
              <w:pStyle w:val="98"/>
              <w:pBdr>
                <w:bottom w:val="none" w:color="auto" w:sz="0" w:space="0"/>
              </w:pBdr>
              <w:tabs>
                <w:tab w:val="clear" w:pos="4153"/>
                <w:tab w:val="clear" w:pos="8306"/>
              </w:tabs>
              <w:adjustRightInd/>
              <w:spacing w:line="460" w:lineRule="exact"/>
              <w:jc w:val="both"/>
              <w:rPr>
                <w:rFonts w:hint="eastAsia"/>
                <w:szCs w:val="24"/>
                <w:lang w:val="en-US" w:eastAsia="zh-CN"/>
              </w:rPr>
            </w:pPr>
            <w:r>
              <w:rPr>
                <w:rFonts w:hint="eastAsia"/>
                <w:szCs w:val="24"/>
                <w:lang w:val="en-US"/>
              </w:rPr>
              <w:t>付款方式：</w:t>
            </w:r>
            <w:r>
              <w:rPr>
                <w:rFonts w:hint="eastAsia"/>
                <w:szCs w:val="24"/>
                <w:lang w:val="en-US" w:eastAsia="zh-CN"/>
              </w:rPr>
              <w:t>工程竣工验收合格审计定案后付至审计定案价的98%，余款质保期满后无质量问题一次性无息付清（已提供质量保证金保函的，不再扣留）。</w:t>
            </w:r>
          </w:p>
          <w:p>
            <w:pPr>
              <w:pStyle w:val="98"/>
              <w:pBdr>
                <w:bottom w:val="none" w:color="auto" w:sz="0" w:space="0"/>
              </w:pBdr>
              <w:tabs>
                <w:tab w:val="clear" w:pos="4153"/>
                <w:tab w:val="clear" w:pos="8306"/>
              </w:tabs>
              <w:adjustRightInd/>
              <w:spacing w:line="460" w:lineRule="exact"/>
              <w:jc w:val="both"/>
              <w:rPr>
                <w:rFonts w:hint="default" w:ascii="黑体" w:hAnsi="黑体" w:eastAsia="宋体" w:cs="黑体"/>
                <w:szCs w:val="24"/>
                <w:lang w:val="en-US" w:eastAsia="zh-CN"/>
              </w:rPr>
            </w:pPr>
            <w:r>
              <w:rPr>
                <w:rFonts w:hint="eastAsia"/>
                <w:szCs w:val="24"/>
                <w:lang w:val="en-US" w:eastAsia="zh-CN"/>
              </w:rPr>
              <w:t>备注：质量保证金可通过转账、网银支付、汇票、支票、担保保函、保证保险、保函（含电子保函）等方式。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工期</w:t>
            </w:r>
          </w:p>
        </w:tc>
        <w:tc>
          <w:tcPr>
            <w:tcW w:w="7227" w:type="dxa"/>
            <w:vAlign w:val="center"/>
          </w:tcPr>
          <w:p>
            <w:pPr>
              <w:pStyle w:val="100"/>
              <w:widowControl w:val="0"/>
              <w:spacing w:before="0" w:beforeAutospacing="0" w:after="0" w:afterAutospacing="0" w:line="440" w:lineRule="exact"/>
              <w:jc w:val="both"/>
              <w:rPr>
                <w:b w:val="0"/>
                <w:bCs w:val="0"/>
                <w:sz w:val="24"/>
                <w:szCs w:val="24"/>
              </w:rPr>
            </w:pPr>
            <w:r>
              <w:rPr>
                <w:rFonts w:hint="eastAsia" w:ascii="Times New Roman" w:hAnsi="Times New Roman" w:cs="Times New Roman"/>
                <w:b w:val="0"/>
                <w:bCs w:val="0"/>
                <w:kern w:val="0"/>
                <w:sz w:val="24"/>
                <w:szCs w:val="24"/>
                <w:lang w:val="en-US" w:eastAsia="zh-CN" w:bidi="ar-SA"/>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rPr>
              <w:t>9</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质保期</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hint="default" w:eastAsia="宋体"/>
                <w:b/>
                <w:bCs/>
                <w:szCs w:val="24"/>
                <w:lang w:val="en-US" w:eastAsia="zh-CN"/>
              </w:rPr>
            </w:pPr>
            <w:r>
              <w:rPr>
                <w:rFonts w:hint="eastAsia" w:ascii="宋体" w:hAnsi="宋体" w:cs="宋体"/>
                <w:bCs/>
                <w:color w:val="auto"/>
                <w:szCs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lang w:val="en-US" w:eastAsia="zh-CN"/>
              </w:rPr>
              <w:t>成交</w:t>
            </w:r>
            <w:r>
              <w:rPr>
                <w:rFonts w:hint="eastAsia" w:ascii="宋体" w:hAnsi="宋体"/>
                <w:bCs/>
                <w:kern w:val="2"/>
                <w:szCs w:val="24"/>
              </w:rPr>
              <w:t>服务费</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bCs/>
                <w:szCs w:val="24"/>
                <w:lang w:val="en-US"/>
              </w:rPr>
            </w:pPr>
            <w:r>
              <w:rPr>
                <w:rFonts w:hint="eastAsia" w:ascii="宋体" w:hAnsi="宋体" w:cs="宋体"/>
                <w:color w:val="auto"/>
                <w:szCs w:val="24"/>
                <w:highlight w:val="none"/>
              </w:rPr>
              <w:t>成交供应商须向采购代理机构交纳代理服务费，代理服务费按国家收费标准计取，在领取成交通知书时缴纳，计算基数为</w:t>
            </w:r>
            <w:r>
              <w:rPr>
                <w:rFonts w:hint="eastAsia" w:ascii="宋体" w:hAnsi="宋体" w:cs="宋体"/>
                <w:color w:val="auto"/>
                <w:szCs w:val="24"/>
                <w:highlight w:val="none"/>
                <w:lang w:val="en-US" w:eastAsia="zh-CN"/>
              </w:rPr>
              <w:t>成交</w:t>
            </w:r>
            <w:r>
              <w:rPr>
                <w:rFonts w:hint="eastAsia" w:ascii="宋体" w:hAnsi="宋体" w:cs="宋体"/>
                <w:color w:val="auto"/>
                <w:szCs w:val="24"/>
                <w:highlight w:val="none"/>
              </w:rPr>
              <w:t>价。专家评审费（具体以实际支付金额为准）由成交供应商在领取成交通知书时另行支付。供应商在报价时综合考虑上述费用，不单独列项。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lang w:val="en-US"/>
              </w:rPr>
              <w:t>11</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highlight w:val="none"/>
              </w:rPr>
              <w:t>履约保证金</w:t>
            </w:r>
          </w:p>
        </w:tc>
        <w:tc>
          <w:tcPr>
            <w:tcW w:w="7227" w:type="dxa"/>
            <w:vAlign w:val="center"/>
          </w:tcPr>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成交人可以通过转账、网银支付、汇票、支票、保证保险、银行履约保函（含电子保函）等方式提交履约保证金。</w:t>
            </w:r>
          </w:p>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履约保证金数额：</w:t>
            </w:r>
            <w:r>
              <w:rPr>
                <w:rFonts w:hint="eastAsia" w:ascii="宋体" w:hAnsi="宋体" w:cs="宋体"/>
                <w:color w:val="auto"/>
                <w:sz w:val="24"/>
                <w:szCs w:val="24"/>
                <w:highlight w:val="none"/>
                <w:lang w:val="en-US" w:eastAsia="zh-CN"/>
              </w:rPr>
              <w:t>无。</w:t>
            </w:r>
          </w:p>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以现金进行履约保证的，应将现金提交到以下指定的银行账户。成交人以银行履约保函或保证保险方式担保履约的，应将银行履约保函或保证保险交至采购人保管。成交人提交银行履约保函或保证保险的担保期限不得少于成交项目的合同期限。银行履约保函或保证保险担保期限到期但成交项目尚未完工验收的，成交人应当进行续保或者补缴履约保证金。成交人应当续保或者补缴履约保证金而没有续保或者补缴履约保证金的，采购人可以暂停支付成交人同等金额的合同款。</w:t>
            </w:r>
          </w:p>
          <w:p>
            <w:pPr>
              <w:pStyle w:val="98"/>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提交时限：签订合同前提交。</w:t>
            </w:r>
          </w:p>
          <w:p>
            <w:pPr>
              <w:pStyle w:val="98"/>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开户行：</w:t>
            </w:r>
            <w:r>
              <w:rPr>
                <w:rFonts w:hint="eastAsia" w:ascii="宋体" w:hAnsi="宋体" w:cs="宋体"/>
                <w:color w:val="auto"/>
                <w:sz w:val="24"/>
                <w:szCs w:val="24"/>
                <w:highlight w:val="none"/>
                <w:lang w:val="en-US" w:eastAsia="zh-CN"/>
              </w:rPr>
              <w:t>签订合同前由采购人提供</w:t>
            </w:r>
            <w:r>
              <w:rPr>
                <w:rFonts w:hint="eastAsia" w:ascii="宋体" w:hAnsi="宋体" w:cs="宋体"/>
                <w:color w:val="auto"/>
                <w:sz w:val="24"/>
                <w:szCs w:val="24"/>
                <w:highlight w:val="none"/>
              </w:rPr>
              <w:t>     </w:t>
            </w:r>
          </w:p>
          <w:p>
            <w:pPr>
              <w:pStyle w:val="98"/>
              <w:pBdr>
                <w:bottom w:val="none" w:color="auto" w:sz="0" w:space="0"/>
              </w:pBdr>
              <w:tabs>
                <w:tab w:val="clear" w:pos="4153"/>
                <w:tab w:val="clear" w:pos="8306"/>
              </w:tabs>
              <w:adjustRightInd/>
              <w:spacing w:line="460" w:lineRule="exact"/>
              <w:ind w:left="239" w:leftChars="114"/>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开户名：</w:t>
            </w:r>
            <w:r>
              <w:rPr>
                <w:rFonts w:hint="eastAsia" w:ascii="宋体" w:hAnsi="宋体" w:cs="宋体"/>
                <w:color w:val="auto"/>
                <w:sz w:val="24"/>
                <w:szCs w:val="24"/>
                <w:highlight w:val="none"/>
                <w:lang w:val="en-US" w:eastAsia="zh-CN"/>
              </w:rPr>
              <w:t>签订合同前由采购人提供</w:t>
            </w:r>
          </w:p>
          <w:p>
            <w:pPr>
              <w:pStyle w:val="98"/>
              <w:pBdr>
                <w:bottom w:val="none" w:color="auto" w:sz="0" w:space="0"/>
              </w:pBdr>
              <w:tabs>
                <w:tab w:val="clear" w:pos="4153"/>
                <w:tab w:val="clear" w:pos="8306"/>
              </w:tabs>
              <w:adjustRightInd/>
              <w:spacing w:line="460" w:lineRule="exact"/>
              <w:ind w:left="239" w:leftChars="114"/>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账 户：</w:t>
            </w:r>
            <w:r>
              <w:rPr>
                <w:rFonts w:hint="eastAsia" w:ascii="宋体" w:hAnsi="宋体" w:cs="宋体"/>
                <w:color w:val="auto"/>
                <w:sz w:val="24"/>
                <w:szCs w:val="24"/>
                <w:highlight w:val="none"/>
                <w:lang w:val="en-US" w:eastAsia="zh-CN"/>
              </w:rPr>
              <w:t>签订合同前由采购人提供</w:t>
            </w:r>
          </w:p>
          <w:p>
            <w:pPr>
              <w:pStyle w:val="98"/>
              <w:pBdr>
                <w:bottom w:val="none" w:color="auto" w:sz="0" w:space="0"/>
              </w:pBdr>
              <w:tabs>
                <w:tab w:val="clear" w:pos="4153"/>
                <w:tab w:val="clear" w:pos="8306"/>
              </w:tabs>
              <w:adjustRightInd/>
              <w:spacing w:line="440" w:lineRule="exact"/>
              <w:jc w:val="both"/>
              <w:textAlignment w:val="auto"/>
              <w:rPr>
                <w:rFonts w:hint="eastAsia" w:ascii="宋体" w:hAnsi="宋体" w:cs="宋体"/>
                <w:color w:val="auto"/>
                <w:szCs w:val="24"/>
                <w:highlight w:val="none"/>
                <w:lang w:eastAsia="zh-CN"/>
              </w:rPr>
            </w:pPr>
            <w:r>
              <w:rPr>
                <w:rFonts w:hint="eastAsia" w:ascii="宋体" w:hAnsi="宋体"/>
                <w:bCs/>
                <w:kern w:val="2"/>
                <w:sz w:val="24"/>
                <w:szCs w:val="24"/>
                <w:highlight w:val="none"/>
              </w:rPr>
              <w:t>项目竣工验收合格结束后应及时退还履约保证金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 xml:space="preserve">请各供应商联系采购单位自行勘踏。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供应商若对采购文件有关内容存在理解障碍，或认为采购文件表述有模糊不清之处，可通过</w:t>
            </w:r>
            <w:r>
              <w:rPr>
                <w:rFonts w:hint="eastAsia" w:ascii="宋体" w:hAnsi="宋体"/>
                <w:bCs/>
                <w:kern w:val="2"/>
                <w:szCs w:val="24"/>
                <w:lang w:val="en-US"/>
              </w:rPr>
              <w:t>电子邮箱（</w:t>
            </w:r>
            <w:r>
              <w:rPr>
                <w:rFonts w:hint="eastAsia" w:ascii="宋体" w:hAnsi="宋体" w:cs="宋体"/>
                <w:szCs w:val="24"/>
              </w:rPr>
              <w:t>递交至</w:t>
            </w:r>
            <w:r>
              <w:rPr>
                <w:rFonts w:hint="eastAsia" w:ascii="宋体" w:hAnsi="宋体" w:cs="宋体"/>
                <w:szCs w:val="24"/>
                <w:lang w:val="en-US" w:eastAsia="zh-CN"/>
              </w:rPr>
              <w:t>278329470</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提出，采购人（采购代理机构）收到供应商提问后将及时通过</w:t>
            </w:r>
            <w:r>
              <w:rPr>
                <w:rFonts w:hint="eastAsia" w:ascii="宋体" w:hAnsi="宋体"/>
                <w:bCs/>
                <w:kern w:val="2"/>
                <w:szCs w:val="24"/>
                <w:lang w:val="en-US"/>
              </w:rPr>
              <w:t>邮箱</w:t>
            </w:r>
            <w:r>
              <w:rPr>
                <w:rFonts w:hint="eastAsia" w:ascii="宋体" w:hAnsi="宋体"/>
                <w:bCs/>
                <w:kern w:val="2"/>
                <w:szCs w:val="24"/>
              </w:rPr>
              <w:t>回复。供应商提问（</w:t>
            </w:r>
            <w:r>
              <w:rPr>
                <w:rFonts w:hint="eastAsia" w:ascii="宋体" w:hAnsi="宋体"/>
                <w:bCs/>
                <w:kern w:val="2"/>
                <w:szCs w:val="24"/>
                <w:lang w:val="en-US"/>
              </w:rPr>
              <w:t>非质疑的一般性问题</w:t>
            </w:r>
            <w:r>
              <w:rPr>
                <w:rFonts w:hint="eastAsia" w:ascii="宋体" w:hAnsi="宋体"/>
                <w:bCs/>
                <w:kern w:val="2"/>
                <w:szCs w:val="24"/>
              </w:rPr>
              <w:t>）时应当隐藏自身信息，直接提出针对项目的相关疑问即可。提交成功后请供应商及时通过</w:t>
            </w:r>
            <w:r>
              <w:rPr>
                <w:rFonts w:hint="eastAsia" w:ascii="宋体" w:hAnsi="宋体"/>
                <w:bCs/>
                <w:kern w:val="2"/>
                <w:szCs w:val="24"/>
                <w:lang w:val="en-US"/>
              </w:rPr>
              <w:t>发出质疑的邮箱</w:t>
            </w:r>
            <w:r>
              <w:rPr>
                <w:rFonts w:hint="eastAsia" w:ascii="宋体" w:hAnsi="宋体"/>
                <w:bCs/>
                <w:kern w:val="2"/>
                <w:szCs w:val="24"/>
              </w:rPr>
              <w:t>查看回复内容。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3"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w:t>
            </w:r>
            <w:r>
              <w:rPr>
                <w:rFonts w:hint="eastAsia" w:ascii="宋体" w:hAnsi="宋体"/>
                <w:b/>
                <w:kern w:val="2"/>
                <w:szCs w:val="24"/>
              </w:rPr>
              <w:t>质疑提出</w:t>
            </w:r>
            <w:r>
              <w:rPr>
                <w:rFonts w:hint="eastAsia" w:ascii="宋体" w:hAnsi="宋体"/>
                <w:b/>
                <w:kern w:val="2"/>
                <w:szCs w:val="24"/>
                <w:lang w:val="en-US"/>
              </w:rPr>
              <w:t>具体步骤</w:t>
            </w:r>
            <w:r>
              <w:rPr>
                <w:rFonts w:hint="eastAsia" w:ascii="宋体" w:hAnsi="宋体"/>
                <w:b/>
                <w:kern w:val="2"/>
                <w:szCs w:val="24"/>
              </w:rPr>
              <w:t>：</w:t>
            </w:r>
            <w:r>
              <w:rPr>
                <w:rFonts w:hint="eastAsia" w:ascii="宋体" w:hAnsi="宋体"/>
                <w:bCs/>
                <w:kern w:val="2"/>
                <w:szCs w:val="24"/>
              </w:rPr>
              <w:t>供应商若对采购文件有关内容存在质疑，可通过</w:t>
            </w:r>
            <w:r>
              <w:rPr>
                <w:rFonts w:hint="eastAsia" w:ascii="宋体" w:hAnsi="宋体"/>
                <w:bCs/>
                <w:kern w:val="2"/>
                <w:szCs w:val="24"/>
                <w:lang w:val="en-US"/>
              </w:rPr>
              <w:t>电子邮箱（</w:t>
            </w:r>
            <w:r>
              <w:rPr>
                <w:rFonts w:hint="eastAsia" w:ascii="宋体" w:hAnsi="宋体" w:cs="宋体"/>
                <w:szCs w:val="24"/>
              </w:rPr>
              <w:t>递交至邮箱</w:t>
            </w:r>
            <w:r>
              <w:rPr>
                <w:rFonts w:hint="eastAsia" w:ascii="宋体" w:hAnsi="宋体" w:cs="宋体"/>
                <w:szCs w:val="24"/>
                <w:lang w:val="en-US" w:eastAsia="zh-CN"/>
              </w:rPr>
              <w:t>278329470</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向采购人（采购代理机构）提出。质疑文件须按《政府采购质疑和投诉办法》（财政部令第94号）规定的要求制作（《质疑函》范本可通过“六安市公共资源交易中心（http://ggzy.luan.gov.cn）”-“政策法规”栏目下载），质疑文件不可匿名，须以附件形式加盖质疑人</w:t>
            </w:r>
            <w:r>
              <w:rPr>
                <w:rFonts w:hint="eastAsia" w:ascii="宋体" w:hAnsi="宋体"/>
                <w:bCs/>
                <w:kern w:val="2"/>
                <w:szCs w:val="24"/>
                <w:lang w:val="en-US"/>
              </w:rPr>
              <w:t>公章</w:t>
            </w:r>
            <w:r>
              <w:rPr>
                <w:rFonts w:hint="eastAsia" w:ascii="宋体" w:hAnsi="宋体"/>
                <w:bCs/>
                <w:kern w:val="2"/>
                <w:szCs w:val="24"/>
              </w:rPr>
              <w:t>签章后</w:t>
            </w:r>
            <w:r>
              <w:rPr>
                <w:rFonts w:hint="eastAsia" w:ascii="宋体" w:hAnsi="宋体"/>
                <w:bCs/>
                <w:kern w:val="2"/>
                <w:szCs w:val="24"/>
                <w:lang w:val="en-US"/>
              </w:rPr>
              <w:t>扫描</w:t>
            </w:r>
            <w:r>
              <w:rPr>
                <w:rFonts w:hint="eastAsia" w:ascii="宋体" w:hAnsi="宋体"/>
                <w:bCs/>
                <w:kern w:val="2"/>
                <w:szCs w:val="24"/>
              </w:rPr>
              <w:t>提交。</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
                <w:kern w:val="2"/>
                <w:szCs w:val="24"/>
              </w:rPr>
              <w:t>2、质疑答</w:t>
            </w:r>
            <w:r>
              <w:rPr>
                <w:rFonts w:hint="eastAsia" w:ascii="宋体" w:hAnsi="宋体"/>
                <w:b/>
                <w:kern w:val="2"/>
                <w:szCs w:val="24"/>
                <w:lang w:val="en-US"/>
              </w:rPr>
              <w:t>复</w:t>
            </w:r>
            <w:r>
              <w:rPr>
                <w:rFonts w:hint="eastAsia" w:ascii="宋体" w:hAnsi="宋体"/>
                <w:b/>
                <w:kern w:val="2"/>
                <w:szCs w:val="24"/>
              </w:rPr>
              <w:t>获取具体步骤：</w:t>
            </w:r>
            <w:r>
              <w:rPr>
                <w:rFonts w:hint="eastAsia" w:ascii="宋体" w:hAnsi="宋体"/>
                <w:bCs/>
                <w:kern w:val="2"/>
                <w:szCs w:val="24"/>
              </w:rPr>
              <w:t>采购人（采购代理机构）将通过</w:t>
            </w:r>
            <w:r>
              <w:rPr>
                <w:rFonts w:hint="eastAsia" w:ascii="宋体" w:hAnsi="宋体"/>
                <w:bCs/>
                <w:kern w:val="2"/>
                <w:szCs w:val="24"/>
                <w:lang w:val="en-US"/>
              </w:rPr>
              <w:t>邮箱</w:t>
            </w:r>
            <w:r>
              <w:rPr>
                <w:rFonts w:hint="eastAsia" w:ascii="宋体" w:hAnsi="宋体"/>
                <w:bCs/>
                <w:kern w:val="2"/>
                <w:szCs w:val="24"/>
              </w:rPr>
              <w:t>于收到质疑文件后七个工作日内答复，请质疑人及时</w:t>
            </w:r>
            <w:r>
              <w:rPr>
                <w:rFonts w:hint="eastAsia" w:ascii="宋体" w:hAnsi="宋体"/>
                <w:bCs/>
                <w:kern w:val="2"/>
                <w:szCs w:val="24"/>
                <w:lang w:val="en-US"/>
              </w:rPr>
              <w:t>通过发出质疑的邮箱</w:t>
            </w:r>
            <w:r>
              <w:rPr>
                <w:rFonts w:hint="eastAsia" w:ascii="宋体" w:hAnsi="宋体"/>
                <w:bCs/>
                <w:kern w:val="2"/>
                <w:szCs w:val="24"/>
              </w:rPr>
              <w:t>查收答疑文件。</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3、请各潜在供应商在响应截止时间前，务必登录“</w:t>
            </w:r>
            <w:r>
              <w:rPr>
                <w:rFonts w:hint="eastAsia" w:ascii="宋体" w:hAnsi="宋体"/>
                <w:bCs/>
                <w:kern w:val="2"/>
                <w:szCs w:val="24"/>
                <w:lang w:eastAsia="zh-CN"/>
              </w:rPr>
              <w:t>霍山永达工程咨询有限公司网站（www.hsydgczx.com）</w:t>
            </w:r>
            <w:r>
              <w:rPr>
                <w:rFonts w:hint="eastAsia" w:ascii="宋体" w:hAnsi="宋体"/>
                <w:bCs/>
                <w:kern w:val="2"/>
                <w:szCs w:val="24"/>
              </w:rPr>
              <w:t>”</w:t>
            </w:r>
            <w:r>
              <w:rPr>
                <w:rFonts w:hint="eastAsia" w:ascii="宋体" w:hAnsi="宋体"/>
                <w:bCs/>
                <w:kern w:val="2"/>
                <w:szCs w:val="24"/>
                <w:lang w:val="en-US"/>
              </w:rPr>
              <w:t>网站</w:t>
            </w:r>
            <w:r>
              <w:rPr>
                <w:rFonts w:hint="eastAsia" w:ascii="宋体" w:hAnsi="宋体"/>
                <w:bCs/>
                <w:kern w:val="2"/>
                <w:szCs w:val="24"/>
              </w:rPr>
              <w:t>，查看是否发布有关</w:t>
            </w:r>
            <w:r>
              <w:rPr>
                <w:rFonts w:hint="eastAsia" w:ascii="宋体" w:hAnsi="宋体"/>
                <w:bCs/>
                <w:kern w:val="2"/>
                <w:szCs w:val="24"/>
                <w:lang w:val="en-US"/>
              </w:rPr>
              <w:t>该</w:t>
            </w:r>
            <w:r>
              <w:rPr>
                <w:rFonts w:hint="eastAsia" w:ascii="宋体" w:hAnsi="宋体"/>
                <w:bCs/>
                <w:kern w:val="2"/>
                <w:szCs w:val="24"/>
              </w:rPr>
              <w:t>项目更正公告</w:t>
            </w:r>
            <w:r>
              <w:rPr>
                <w:rFonts w:hint="eastAsia" w:ascii="宋体" w:hAnsi="宋体"/>
                <w:bCs/>
                <w:kern w:val="2"/>
                <w:szCs w:val="24"/>
                <w:lang w:val="en-US"/>
              </w:rPr>
              <w:t>或澄清</w:t>
            </w:r>
            <w:r>
              <w:rPr>
                <w:rFonts w:hint="eastAsia" w:ascii="宋体" w:hAnsi="宋体"/>
                <w:bCs/>
                <w:kern w:val="2"/>
                <w:szCs w:val="24"/>
              </w:rPr>
              <w:t>。更正公告</w:t>
            </w:r>
            <w:r>
              <w:rPr>
                <w:rFonts w:hint="eastAsia" w:ascii="宋体" w:hAnsi="宋体"/>
                <w:bCs/>
                <w:kern w:val="2"/>
                <w:szCs w:val="24"/>
                <w:lang w:val="en-US"/>
              </w:rPr>
              <w:t>或或澄清</w:t>
            </w:r>
            <w:r>
              <w:rPr>
                <w:rFonts w:hint="eastAsia" w:ascii="宋体" w:hAnsi="宋体"/>
                <w:bCs/>
                <w:kern w:val="2"/>
                <w:szCs w:val="24"/>
              </w:rPr>
              <w:t>为采购文件的有效组成部分，一经发布即为视同已通知所有潜在供应商，若因未及时关注而造成的一切后果，由供应商自行承担。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rPr>
              <w:t>2</w:t>
            </w:r>
            <w:r>
              <w:rPr>
                <w:rFonts w:hint="eastAsia" w:ascii="宋体" w:hAnsi="宋体"/>
                <w:szCs w:val="24"/>
              </w:rPr>
              <w:t>份</w:t>
            </w:r>
          </w:p>
          <w:p>
            <w:pPr>
              <w:pStyle w:val="98"/>
              <w:pBdr>
                <w:bottom w:val="none" w:color="auto" w:sz="0" w:space="0"/>
              </w:pBdr>
              <w:tabs>
                <w:tab w:val="clear" w:pos="4153"/>
                <w:tab w:val="clear" w:pos="8306"/>
              </w:tabs>
              <w:adjustRightInd/>
              <w:spacing w:line="440" w:lineRule="exact"/>
              <w:jc w:val="left"/>
              <w:textAlignment w:val="auto"/>
              <w:rPr>
                <w:rFonts w:ascii="宋体" w:hAnsi="宋体"/>
                <w:szCs w:val="24"/>
                <w:lang w:val="en-US"/>
              </w:rPr>
            </w:pPr>
            <w:r>
              <w:rPr>
                <w:rFonts w:hint="eastAsia" w:ascii="宋体" w:hAnsi="宋体"/>
                <w:szCs w:val="24"/>
                <w:lang w:val="en-US"/>
              </w:rPr>
              <w:t>要求：</w:t>
            </w:r>
          </w:p>
          <w:p>
            <w:pPr>
              <w:pStyle w:val="98"/>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r>
              <w:rPr>
                <w:rFonts w:hint="eastAsia" w:ascii="宋体" w:hAnsi="宋体"/>
                <w:szCs w:val="24"/>
                <w:lang w:eastAsia="zh-CN"/>
              </w:rPr>
              <w:t>（胶装）</w:t>
            </w:r>
            <w:r>
              <w:rPr>
                <w:rFonts w:hint="eastAsia" w:ascii="宋体" w:hAnsi="宋体"/>
                <w:szCs w:val="24"/>
              </w:rPr>
              <w:t>。</w:t>
            </w:r>
          </w:p>
          <w:p>
            <w:pPr>
              <w:pStyle w:val="98"/>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如果响应文件没有按规定装订、分装、标记和密封，采购人和代理机构不承担提前开封的责任。</w:t>
            </w:r>
          </w:p>
          <w:p>
            <w:pPr>
              <w:pStyle w:val="98"/>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响应文件正本与副本可以包装在一起密封提交，也可以分开包装密封提交。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bCs/>
                <w:szCs w:val="24"/>
              </w:rPr>
              <w:t>响应</w:t>
            </w:r>
            <w:r>
              <w:rPr>
                <w:rFonts w:hint="eastAsia" w:ascii="宋体" w:hAnsi="宋体"/>
                <w:bCs/>
                <w:kern w:val="2"/>
                <w:szCs w:val="24"/>
              </w:rPr>
              <w:t>文件必须在响应截止时间前</w:t>
            </w:r>
            <w:r>
              <w:rPr>
                <w:rFonts w:hint="eastAsia" w:ascii="宋体" w:hAnsi="宋体"/>
                <w:kern w:val="2"/>
                <w:szCs w:val="24"/>
                <w:lang w:val="en-US" w:eastAsia="zh-CN"/>
              </w:rPr>
              <w:t>现场递交</w:t>
            </w:r>
            <w:r>
              <w:rPr>
                <w:rFonts w:hint="eastAsia" w:ascii="宋体" w:hAnsi="宋体"/>
                <w:bCs/>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17</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szCs w:val="24"/>
              </w:rPr>
              <w:t>封套上应载明的信息</w:t>
            </w:r>
          </w:p>
        </w:tc>
        <w:tc>
          <w:tcPr>
            <w:tcW w:w="7227" w:type="dxa"/>
            <w:vAlign w:val="center"/>
          </w:tcPr>
          <w:p>
            <w:pPr>
              <w:spacing w:line="560" w:lineRule="exact"/>
              <w:rPr>
                <w:sz w:val="24"/>
                <w:szCs w:val="24"/>
              </w:rPr>
            </w:pP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pPr>
              <w:pStyle w:val="113"/>
              <w:spacing w:line="480" w:lineRule="exact"/>
              <w:ind w:right="1178" w:firstLine="240" w:firstLineChars="100"/>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spacing w:line="480" w:lineRule="exact"/>
              <w:ind w:firstLine="240" w:firstLineChars="100"/>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113"/>
              <w:spacing w:line="480" w:lineRule="exact"/>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kern w:val="2"/>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18</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1、存在以下不良信用记录情形之一的，不得推荐为成交候选供应商,评审时谈判小组应当按照下列第3条不良信用记录查询渠道对供应商是否存在不良信用记录进行查询：</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（1）供应商被人民法院列入失信被执行人的；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（2）供应商被市场监督管理部门列入企业经营异常名录的；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3、不良信用记录查询渠道如下：</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（2）企业经营异常名录：信用中国官网（www.creditchina.gov.cn）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19</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02"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20</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）及地点</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eastAsia="宋体"/>
                <w:bCs/>
                <w:color w:val="000000" w:themeColor="text1"/>
                <w:kern w:val="2"/>
                <w:szCs w:val="24"/>
                <w:lang w:eastAsia="zh-CN"/>
                <w14:textFill>
                  <w14:solidFill>
                    <w14:schemeClr w14:val="tx1"/>
                  </w14:solidFill>
                </w14:textFill>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w:t>
            </w:r>
            <w:r>
              <w:rPr>
                <w:rFonts w:hint="eastAsia" w:ascii="宋体" w:hAnsi="宋体"/>
                <w:bCs/>
                <w:color w:val="000000" w:themeColor="text1"/>
                <w:kern w:val="2"/>
                <w:szCs w:val="24"/>
                <w:lang w:eastAsia="zh-CN"/>
                <w14:textFill>
                  <w14:solidFill>
                    <w14:schemeClr w14:val="tx1"/>
                  </w14:solidFill>
                </w14:textFill>
              </w:rPr>
              <w:t>详见谈判公告</w:t>
            </w:r>
          </w:p>
          <w:p>
            <w:pPr>
              <w:pStyle w:val="98"/>
              <w:pBdr>
                <w:bottom w:val="none" w:color="auto" w:sz="0" w:space="0"/>
              </w:pBdr>
              <w:tabs>
                <w:tab w:val="clear" w:pos="4153"/>
                <w:tab w:val="clear" w:pos="8306"/>
              </w:tabs>
              <w:adjustRightInd/>
              <w:spacing w:line="440" w:lineRule="exact"/>
              <w:jc w:val="both"/>
              <w:textAlignment w:val="auto"/>
              <w:rPr>
                <w:rFonts w:ascii="宋体" w:hAnsi="宋体"/>
                <w:szCs w:val="24"/>
                <w:lang w:val="en-US"/>
              </w:rPr>
            </w:pPr>
            <w:r>
              <w:rPr>
                <w:rFonts w:hint="eastAsia" w:ascii="宋体" w:hAnsi="宋体"/>
                <w:bCs/>
                <w:color w:val="000000" w:themeColor="text1"/>
                <w:kern w:val="2"/>
                <w:szCs w:val="24"/>
                <w14:textFill>
                  <w14:solidFill>
                    <w14:schemeClr w14:val="tx1"/>
                  </w14:solidFill>
                </w14:textFill>
              </w:rPr>
              <w:t>地点：</w:t>
            </w:r>
            <w:r>
              <w:rPr>
                <w:rFonts w:hint="eastAsia" w:ascii="宋体" w:hAnsi="宋体"/>
                <w:bCs/>
                <w:color w:val="000000" w:themeColor="text1"/>
                <w:kern w:val="2"/>
                <w:szCs w:val="24"/>
                <w:lang w:eastAsia="zh-CN"/>
                <w14:textFill>
                  <w14:solidFill>
                    <w14:schemeClr w14:val="tx1"/>
                  </w14:solidFill>
                </w14:textFill>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2</w:t>
            </w:r>
            <w:r>
              <w:rPr>
                <w:rFonts w:hint="eastAsia" w:ascii="宋体" w:hAnsi="宋体"/>
                <w:b/>
                <w:kern w:val="2"/>
                <w:szCs w:val="24"/>
                <w:lang w:val="en-US" w:eastAsia="zh-CN"/>
              </w:rPr>
              <w:t>1</w:t>
            </w:r>
          </w:p>
        </w:tc>
        <w:tc>
          <w:tcPr>
            <w:tcW w:w="1720"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重要提醒</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自2022年1月1日起，一级建造师统一使用电子证书，纸质注册证书作废。拟委任项目经理为一级注册建造师的，须执行《住房和城乡建设部办公厅关于全面实行一级建造师电子注册证书的通知》(建办市〔2021〕40号)中电子证书的有关使用要求，一级建造师打印电子证书后，应在个人签名处手写本人签名，未手写签名或与签名图像笔迹不一致的，该电子证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lang w:val="en-US"/>
              </w:rPr>
              <w:t>2</w:t>
            </w:r>
            <w:r>
              <w:rPr>
                <w:rFonts w:hint="eastAsia" w:ascii="宋体" w:hAnsi="宋体"/>
                <w:b/>
                <w:kern w:val="2"/>
                <w:szCs w:val="24"/>
                <w:lang w:val="en-US" w:eastAsia="zh-CN"/>
              </w:rPr>
              <w:t>2</w:t>
            </w:r>
          </w:p>
        </w:tc>
        <w:tc>
          <w:tcPr>
            <w:tcW w:w="1720"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lang w:val="en-US"/>
              </w:rPr>
            </w:pPr>
            <w:r>
              <w:rPr>
                <w:rFonts w:hint="eastAsia" w:ascii="宋体" w:hAnsi="宋体"/>
                <w:bCs/>
                <w:kern w:val="2"/>
                <w:szCs w:val="24"/>
                <w:lang w:val="en-US"/>
              </w:rPr>
              <w:t>注意事项</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1、违约责任：若发现供应商属于出借资质或挂靠以及以各种理由推脱无法履约的（包含项目班子成员无法到岗、因工程质量问题无法验收以及工程延期等因素），采购人将供应商违约事实形成证据，除支付违约金外，采购人有权无条件终止合同，同时给予企业或项目班子成员记不良行为记录等处理。情节严重的将提请执法机关查处，直至追究刑事责任，并依法并向社会公开曝光。</w:t>
            </w:r>
          </w:p>
          <w:p>
            <w:pPr>
              <w:pStyle w:val="98"/>
              <w:pBdr>
                <w:bottom w:val="none" w:color="auto" w:sz="0" w:space="0"/>
              </w:pBdr>
              <w:tabs>
                <w:tab w:val="clear" w:pos="4153"/>
                <w:tab w:val="clear" w:pos="8306"/>
              </w:tabs>
              <w:adjustRightInd/>
              <w:spacing w:line="440" w:lineRule="exact"/>
              <w:jc w:val="both"/>
              <w:textAlignment w:val="auto"/>
              <w:rPr>
                <w:rFonts w:hint="default" w:ascii="宋体" w:hAnsi="宋体" w:eastAsia="宋体" w:cs="宋体"/>
                <w:sz w:val="24"/>
                <w:szCs w:val="24"/>
                <w:lang w:val="en-US" w:eastAsia="zh-CN"/>
              </w:rPr>
            </w:pPr>
            <w:r>
              <w:rPr>
                <w:rFonts w:ascii="宋体" w:hAnsi="宋体" w:eastAsia="宋体" w:cs="宋体"/>
                <w:sz w:val="24"/>
                <w:szCs w:val="24"/>
              </w:rPr>
              <w:t>2、供应商除配备1名项目经理外，还须配备技术负责人1名、施工员1名、安全员1名、质量员1名，响应文件中须载明上述人员，</w:t>
            </w:r>
            <w:r>
              <w:rPr>
                <w:rFonts w:hint="eastAsia" w:ascii="宋体" w:hAnsi="宋体" w:cs="宋体"/>
                <w:sz w:val="24"/>
                <w:szCs w:val="24"/>
                <w:lang w:eastAsia="zh-CN"/>
              </w:rPr>
              <w:t>且</w:t>
            </w:r>
            <w:r>
              <w:rPr>
                <w:rFonts w:ascii="宋体" w:hAnsi="宋体" w:eastAsia="宋体" w:cs="宋体"/>
                <w:sz w:val="24"/>
                <w:szCs w:val="24"/>
              </w:rPr>
              <w:t>需提供所属社保机构出具的包括谈判截止日所属月份（含）为基点起往前计算已经过去的连续5个月内不少于连续缴费3个月的上述人员的社保缴费清单等社保缴费证明原件；项目技术负责人应具有</w:t>
            </w:r>
            <w:r>
              <w:rPr>
                <w:rFonts w:hint="eastAsia" w:ascii="宋体" w:hAnsi="宋体" w:cs="宋体"/>
                <w:sz w:val="24"/>
                <w:szCs w:val="24"/>
                <w:lang w:val="en-US" w:eastAsia="zh-CN"/>
              </w:rPr>
              <w:t>建筑工程</w:t>
            </w:r>
            <w:r>
              <w:rPr>
                <w:rFonts w:ascii="宋体" w:hAnsi="宋体" w:eastAsia="宋体" w:cs="宋体"/>
                <w:sz w:val="24"/>
                <w:szCs w:val="24"/>
              </w:rPr>
              <w:t>相关专业的中级及以上职称，专业不配套按不实质性响应谈判文件要求处理（需提供技术负责人职称证书）；无需提供施工员、安全员、质量员岗位证书，后期在项目实施过程中需遵守主管部门的相关要求。</w:t>
            </w:r>
            <w:r>
              <w:rPr>
                <w:rFonts w:hint="eastAsia" w:ascii="宋体" w:hAnsi="宋体" w:cs="宋体"/>
                <w:sz w:val="24"/>
                <w:szCs w:val="24"/>
                <w:lang w:val="en-US" w:eastAsia="zh-CN"/>
              </w:rPr>
              <w:t>若人员配备结构、人数和证明材料不符合上述要求，按不实质性响应谈判文件要求处理。</w:t>
            </w:r>
          </w:p>
          <w:p>
            <w:pPr>
              <w:pStyle w:val="98"/>
              <w:pBdr>
                <w:bottom w:val="none" w:color="auto" w:sz="0" w:space="0"/>
              </w:pBdr>
              <w:tabs>
                <w:tab w:val="clear" w:pos="4153"/>
                <w:tab w:val="clear" w:pos="8306"/>
              </w:tabs>
              <w:adjustRightInd/>
              <w:spacing w:line="440" w:lineRule="exact"/>
              <w:jc w:val="both"/>
              <w:textAlignment w:val="auto"/>
              <w:rPr>
                <w:rFonts w:ascii="宋体" w:hAnsi="宋体"/>
                <w:b/>
                <w:kern w:val="2"/>
                <w:szCs w:val="24"/>
                <w:lang w:val="en-US"/>
              </w:rPr>
            </w:pPr>
            <w:r>
              <w:rPr>
                <w:rFonts w:ascii="宋体" w:hAnsi="宋体" w:eastAsia="宋体" w:cs="宋体"/>
                <w:color w:val="0000FF"/>
                <w:sz w:val="24"/>
                <w:szCs w:val="24"/>
              </w:rPr>
              <w:t>3、在工程项目谈判过程中，若供应商最终报价与公布的最高投标限价（控制价）或项目概算相比降幅过小，或供应商最终报价明显缺乏竞争性的，谈判小组可以否决其报价。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b/>
                <w:kern w:val="2"/>
                <w:szCs w:val="24"/>
                <w:lang w:val="en-US"/>
              </w:rPr>
            </w:pPr>
            <w:r>
              <w:rPr>
                <w:rFonts w:hint="eastAsia" w:ascii="宋体" w:hAnsi="宋体"/>
                <w:b/>
                <w:kern w:val="2"/>
                <w:szCs w:val="24"/>
                <w:lang w:val="en-US" w:eastAsia="zh-CN"/>
              </w:rPr>
              <w:t>23</w:t>
            </w:r>
          </w:p>
        </w:tc>
        <w:tc>
          <w:tcPr>
            <w:tcW w:w="1720" w:type="dxa"/>
            <w:vAlign w:val="center"/>
          </w:tcPr>
          <w:p>
            <w:pPr>
              <w:pStyle w:val="98"/>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lang w:val="en-US"/>
              </w:rPr>
            </w:pPr>
            <w:r>
              <w:rPr>
                <w:rFonts w:hint="eastAsia" w:ascii="宋体" w:hAnsi="宋体" w:cs="宋体"/>
                <w:color w:val="FF0000"/>
                <w:sz w:val="24"/>
                <w:szCs w:val="24"/>
                <w:lang w:eastAsia="zh-CN"/>
              </w:rPr>
              <w:t>“双随机”抽取系数操作规程</w:t>
            </w:r>
          </w:p>
        </w:tc>
        <w:tc>
          <w:tcPr>
            <w:tcW w:w="7227" w:type="dxa"/>
            <w:vAlign w:val="center"/>
          </w:tcPr>
          <w:p>
            <w:pPr>
              <w:pStyle w:val="98"/>
              <w:pBdr>
                <w:bottom w:val="none" w:color="auto" w:sz="0" w:space="0"/>
              </w:pBdr>
              <w:tabs>
                <w:tab w:val="clear" w:pos="4153"/>
                <w:tab w:val="clear" w:pos="8306"/>
              </w:tabs>
              <w:adjustRightInd/>
              <w:spacing w:line="440" w:lineRule="exact"/>
              <w:ind w:firstLine="480" w:firstLineChars="200"/>
              <w:jc w:val="both"/>
              <w:textAlignment w:val="auto"/>
              <w:rPr>
                <w:rFonts w:hint="eastAsia" w:ascii="宋体" w:hAnsi="宋体" w:cs="宋体"/>
                <w:color w:val="FF0000"/>
                <w:sz w:val="24"/>
                <w:szCs w:val="24"/>
                <w:lang w:val="en-US" w:eastAsia="zh-CN"/>
              </w:rPr>
            </w:pPr>
            <w:r>
              <w:rPr>
                <w:rFonts w:hint="eastAsia" w:ascii="宋体" w:hAnsi="宋体" w:cs="宋体"/>
                <w:color w:val="FF0000"/>
                <w:sz w:val="24"/>
                <w:szCs w:val="24"/>
                <w:lang w:eastAsia="zh-CN"/>
              </w:rPr>
              <w:t>“双随机”抽取系数操作规程统一如下：分两个环节，（</w:t>
            </w:r>
            <w:r>
              <w:rPr>
                <w:rFonts w:hint="eastAsia" w:ascii="宋体" w:hAnsi="宋体" w:cs="宋体"/>
                <w:color w:val="FF0000"/>
                <w:sz w:val="24"/>
                <w:szCs w:val="24"/>
                <w:lang w:val="en-US" w:eastAsia="zh-CN"/>
              </w:rPr>
              <w:t>1</w:t>
            </w:r>
            <w:r>
              <w:rPr>
                <w:rFonts w:hint="eastAsia" w:ascii="宋体" w:hAnsi="宋体" w:cs="宋体"/>
                <w:color w:val="FF0000"/>
                <w:sz w:val="24"/>
                <w:szCs w:val="24"/>
                <w:lang w:eastAsia="zh-CN"/>
              </w:rPr>
              <w:t>）在监督人员监督下，招标代理工作人员先检查摇号机状态，确认摇号机工作状态正常后，向摇号机中随机放入</w:t>
            </w:r>
            <w:r>
              <w:rPr>
                <w:rFonts w:hint="eastAsia" w:ascii="宋体" w:hAnsi="宋体" w:cs="宋体"/>
                <w:color w:val="FF0000"/>
                <w:sz w:val="24"/>
                <w:szCs w:val="24"/>
                <w:lang w:val="en-US" w:eastAsia="zh-CN"/>
              </w:rPr>
              <w:t>14个号码球（号码球无需连号），由采购人代表分7次按压抽取按钮，分别摇出7个号码球，摇出的7个号码球按出球先后顺序，分别对应</w:t>
            </w:r>
            <w:r>
              <w:rPr>
                <w:rFonts w:ascii="宋体" w:hAnsi="宋体" w:cs="宋体"/>
                <w:color w:val="FF0000"/>
                <w:sz w:val="24"/>
                <w:szCs w:val="24"/>
              </w:rPr>
              <w:t>92%，93%，94%，95%、96%、97%、98%</w:t>
            </w:r>
            <w:r>
              <w:rPr>
                <w:rFonts w:hint="eastAsia" w:ascii="宋体" w:hAnsi="宋体" w:cs="宋体"/>
                <w:color w:val="FF0000"/>
                <w:sz w:val="24"/>
                <w:szCs w:val="24"/>
                <w:lang w:eastAsia="zh-CN"/>
              </w:rPr>
              <w:t>共</w:t>
            </w:r>
            <w:r>
              <w:rPr>
                <w:rFonts w:hint="eastAsia" w:ascii="宋体" w:hAnsi="宋体" w:cs="宋体"/>
                <w:color w:val="FF0000"/>
                <w:sz w:val="24"/>
                <w:szCs w:val="24"/>
                <w:lang w:val="en-US" w:eastAsia="zh-CN"/>
              </w:rPr>
              <w:t>7个系数：（2）招标代理工作人员清空摇号机后，再将上述摇出的7个号码球依次放入摇号机中，再由采购人代表从中摇出一个号码球，摇出的这个号码球对应的系数，即为本项目的抽中系数。</w:t>
            </w:r>
          </w:p>
          <w:p>
            <w:pPr>
              <w:pStyle w:val="98"/>
              <w:pBdr>
                <w:bottom w:val="none" w:color="auto" w:sz="0" w:space="0"/>
              </w:pBdr>
              <w:tabs>
                <w:tab w:val="clear" w:pos="4153"/>
                <w:tab w:val="clear" w:pos="8306"/>
              </w:tabs>
              <w:adjustRightInd/>
              <w:spacing w:line="440" w:lineRule="exact"/>
              <w:ind w:firstLine="480" w:firstLineChars="200"/>
              <w:jc w:val="both"/>
              <w:textAlignment w:val="auto"/>
              <w:rPr>
                <w:rFonts w:hint="eastAsia" w:ascii="宋体" w:hAnsi="宋体"/>
                <w:b/>
                <w:kern w:val="2"/>
                <w:szCs w:val="24"/>
                <w:lang w:val="en-US"/>
              </w:rPr>
            </w:pPr>
            <w:r>
              <w:rPr>
                <w:rFonts w:hint="eastAsia" w:ascii="宋体" w:hAnsi="宋体" w:cs="宋体"/>
                <w:color w:val="FF0000"/>
                <w:sz w:val="24"/>
                <w:szCs w:val="24"/>
                <w:lang w:val="en-US" w:eastAsia="zh-CN"/>
              </w:rPr>
              <w:t>（3）抽取工作相关要求。一是除遇设备或网络故障外，招标代理机构应保证整个抽取过程视频通过网上开标大厅向所有供应商开放，保证抽取工作公开透明；二是招标代理机构要将上述抽取过程简要情况（特别是依次摇出的7个号码球球号分别是多少？最终摇中的号码球球号及对应系数同步实时公布）在网上开标大厅实时同步公布，如遇系统故障，无法实时公布，应报现场监督人员确认并记录在案备查；三是上述系数抽取过程，招标代理应制作抽取结果记录表，由采购人代表、监督人员、招标代理工作人员三方签字确认；四是除摇号机突遇故障无法继续使用并报现场监督人员和交易中心管理人员检查确认外，同一个项目整个摇号抽取过程中应使用同一台摇号机，中途不得更换。五是除遇设备或网络故障外，招标代理机构原则上应在最终报价结束时间截止后半小时内组织完成系数抽取工作，并向所有供应商公布抽取结果；六是如有招标人或招标代理机构未按上述统一规程要求开展“双随机”抽取系数，经监督部门调查确认属实的，抽取结果及依据此抽取结果进一步作出的评审结论一律无效，监督部门将视情作出重新组织抽取或项目重新组织采购的处理决定，并对相关违规人员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eastAsia="宋体" w:cs="Times New Roman"/>
                <w:b/>
                <w:kern w:val="2"/>
                <w:sz w:val="24"/>
                <w:szCs w:val="24"/>
                <w:lang w:val="en-US" w:eastAsia="zh-CN" w:bidi="ar-SA"/>
              </w:rPr>
            </w:pPr>
            <w:r>
              <w:rPr>
                <w:rFonts w:hint="eastAsia" w:ascii="宋体" w:hAnsi="宋体"/>
                <w:b/>
                <w:kern w:val="2"/>
                <w:szCs w:val="24"/>
                <w:lang w:val="en-US" w:eastAsia="zh-CN"/>
              </w:rPr>
              <w:t>24</w:t>
            </w:r>
          </w:p>
        </w:tc>
        <w:tc>
          <w:tcPr>
            <w:tcW w:w="1720" w:type="dxa"/>
            <w:vAlign w:val="center"/>
          </w:tcPr>
          <w:p>
            <w:pPr>
              <w:pStyle w:val="98"/>
              <w:pBdr>
                <w:bottom w:val="none" w:color="auto" w:sz="0" w:space="0"/>
              </w:pBdr>
              <w:tabs>
                <w:tab w:val="clear" w:pos="4153"/>
                <w:tab w:val="clear" w:pos="8306"/>
              </w:tabs>
              <w:adjustRightInd/>
              <w:spacing w:line="440" w:lineRule="exact"/>
              <w:jc w:val="left"/>
              <w:textAlignment w:val="auto"/>
              <w:rPr>
                <w:rFonts w:hint="eastAsia" w:ascii="宋体" w:hAnsi="宋体" w:eastAsia="宋体" w:cs="Times New Roman"/>
                <w:bCs/>
                <w:kern w:val="2"/>
                <w:sz w:val="24"/>
                <w:szCs w:val="24"/>
                <w:lang w:val="en-US" w:eastAsia="zh-CN" w:bidi="ar-SA"/>
              </w:rPr>
            </w:pPr>
            <w:r>
              <w:rPr>
                <w:rFonts w:hint="eastAsia" w:ascii="宋体" w:hAnsi="宋体"/>
                <w:bCs/>
                <w:kern w:val="2"/>
                <w:szCs w:val="24"/>
                <w:lang w:val="en-US" w:eastAsia="zh-CN"/>
              </w:rPr>
              <w:t>谈判文件解释权</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eastAsia="宋体" w:cs="Times New Roman"/>
                <w:b/>
                <w:kern w:val="2"/>
                <w:sz w:val="24"/>
                <w:szCs w:val="24"/>
                <w:lang w:val="en-US" w:eastAsia="zh-CN" w:bidi="ar-SA"/>
              </w:rPr>
            </w:pPr>
            <w:r>
              <w:rPr>
                <w:rFonts w:ascii="宋体" w:hAnsi="宋体" w:eastAsia="宋体" w:cs="宋体"/>
                <w:sz w:val="24"/>
                <w:szCs w:val="24"/>
              </w:rPr>
              <w:t>本谈判文件的解释权归采购人。</w:t>
            </w:r>
          </w:p>
        </w:tc>
      </w:tr>
    </w:tbl>
    <w:p>
      <w:pPr>
        <w:pStyle w:val="4"/>
        <w:spacing w:before="0" w:after="0" w:line="430" w:lineRule="exact"/>
        <w:ind w:firstLine="241" w:firstLineChars="100"/>
        <w:jc w:val="center"/>
        <w:rPr>
          <w:rFonts w:ascii="宋体" w:hAnsi="宋体" w:eastAsia="宋体" w:cs="宋体"/>
          <w:sz w:val="24"/>
          <w:szCs w:val="24"/>
        </w:rPr>
      </w:pPr>
      <w:bookmarkStart w:id="59" w:name="_Toc7878"/>
      <w:r>
        <w:rPr>
          <w:rFonts w:hint="eastAsia" w:ascii="宋体" w:hAnsi="宋体" w:eastAsia="宋体" w:cs="宋体"/>
          <w:sz w:val="24"/>
          <w:szCs w:val="24"/>
        </w:rPr>
        <w:t>（二）供应商资格</w:t>
      </w:r>
      <w:bookmarkEnd w:id="59"/>
    </w:p>
    <w:bookmarkEnd w:id="56"/>
    <w:p>
      <w:pPr>
        <w:pStyle w:val="33"/>
        <w:spacing w:after="0" w:line="430" w:lineRule="exact"/>
        <w:ind w:firstLine="480" w:firstLineChars="200"/>
        <w:jc w:val="center"/>
      </w:pPr>
      <w:bookmarkStart w:id="60" w:name="_Toc363199266"/>
      <w:bookmarkStart w:id="61" w:name="_Toc438648662"/>
      <w:bookmarkStart w:id="62" w:name="_Toc216158625"/>
      <w:r>
        <w:rPr>
          <w:rFonts w:hint="eastAsia"/>
        </w:rPr>
        <w:t>见本项目采购公告</w:t>
      </w:r>
    </w:p>
    <w:p>
      <w:pPr>
        <w:pStyle w:val="4"/>
        <w:spacing w:before="0" w:after="0" w:line="430" w:lineRule="exact"/>
        <w:jc w:val="center"/>
        <w:rPr>
          <w:rFonts w:ascii="宋体" w:hAnsi="宋体" w:eastAsia="宋体" w:cs="宋体"/>
          <w:sz w:val="24"/>
          <w:szCs w:val="24"/>
        </w:rPr>
      </w:pPr>
      <w:bookmarkStart w:id="63" w:name="_Toc27352"/>
      <w:r>
        <w:rPr>
          <w:rFonts w:hint="eastAsia" w:ascii="宋体" w:hAnsi="宋体" w:eastAsia="宋体" w:cs="宋体"/>
          <w:sz w:val="24"/>
          <w:szCs w:val="24"/>
        </w:rPr>
        <w:t>（三）供应商必须提交的响应文件内容</w:t>
      </w:r>
      <w:bookmarkEnd w:id="60"/>
      <w:bookmarkEnd w:id="61"/>
      <w:bookmarkEnd w:id="62"/>
      <w:bookmarkEnd w:id="63"/>
    </w:p>
    <w:p>
      <w:pPr>
        <w:spacing w:line="430" w:lineRule="exact"/>
        <w:ind w:firstLine="480" w:firstLineChars="200"/>
        <w:jc w:val="left"/>
        <w:rPr>
          <w:rFonts w:ascii="宋体" w:hAnsi="宋体"/>
          <w:sz w:val="24"/>
          <w:szCs w:val="24"/>
        </w:rPr>
      </w:pPr>
      <w:r>
        <w:rPr>
          <w:rFonts w:hint="eastAsia" w:ascii="宋体" w:hAnsi="宋体"/>
          <w:sz w:val="24"/>
          <w:szCs w:val="24"/>
        </w:rPr>
        <w:t>1、报价单、已标价工程量清单；</w:t>
      </w:r>
    </w:p>
    <w:p>
      <w:pPr>
        <w:spacing w:line="430" w:lineRule="exact"/>
        <w:ind w:firstLine="480" w:firstLineChars="200"/>
        <w:jc w:val="left"/>
        <w:rPr>
          <w:rFonts w:ascii="宋体" w:hAnsi="宋体"/>
          <w:sz w:val="24"/>
          <w:szCs w:val="24"/>
        </w:rPr>
      </w:pPr>
      <w:r>
        <w:rPr>
          <w:rFonts w:hint="eastAsia" w:ascii="宋体" w:hAnsi="宋体"/>
          <w:sz w:val="24"/>
          <w:szCs w:val="24"/>
        </w:rPr>
        <w:t>2、供应商基本信息；</w:t>
      </w:r>
    </w:p>
    <w:p>
      <w:pPr>
        <w:spacing w:line="430" w:lineRule="exact"/>
        <w:ind w:firstLine="480" w:firstLineChars="200"/>
        <w:jc w:val="left"/>
        <w:rPr>
          <w:rFonts w:ascii="宋体" w:hAnsi="宋体"/>
          <w:sz w:val="24"/>
          <w:szCs w:val="24"/>
        </w:rPr>
      </w:pPr>
      <w:r>
        <w:rPr>
          <w:rFonts w:hint="eastAsia" w:ascii="宋体" w:hAnsi="宋体"/>
          <w:sz w:val="24"/>
          <w:szCs w:val="24"/>
        </w:rPr>
        <w:t>3、谈判授权书；</w:t>
      </w:r>
    </w:p>
    <w:p>
      <w:pPr>
        <w:spacing w:line="430" w:lineRule="exact"/>
        <w:ind w:firstLine="480" w:firstLineChars="200"/>
        <w:jc w:val="left"/>
        <w:rPr>
          <w:rFonts w:ascii="宋体" w:hAnsi="宋体"/>
          <w:sz w:val="24"/>
          <w:szCs w:val="24"/>
        </w:rPr>
      </w:pPr>
      <w:r>
        <w:rPr>
          <w:rFonts w:hint="eastAsia" w:ascii="宋体" w:hAnsi="宋体"/>
          <w:sz w:val="24"/>
          <w:szCs w:val="24"/>
        </w:rPr>
        <w:t>4、谈判响应函；</w:t>
      </w:r>
    </w:p>
    <w:p>
      <w:pPr>
        <w:spacing w:line="43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spacing w:line="430" w:lineRule="exact"/>
        <w:ind w:firstLine="480" w:firstLineChars="200"/>
        <w:jc w:val="left"/>
        <w:rPr>
          <w:rFonts w:ascii="宋体" w:hAnsi="宋体"/>
          <w:sz w:val="24"/>
          <w:szCs w:val="24"/>
        </w:rPr>
      </w:pPr>
      <w:r>
        <w:rPr>
          <w:rFonts w:hint="eastAsia" w:ascii="宋体" w:hAnsi="宋体"/>
          <w:sz w:val="24"/>
          <w:szCs w:val="24"/>
        </w:rPr>
        <w:t>6、响应情况表；</w:t>
      </w:r>
    </w:p>
    <w:p>
      <w:pPr>
        <w:spacing w:line="430" w:lineRule="exact"/>
        <w:ind w:firstLine="480" w:firstLineChars="200"/>
        <w:jc w:val="left"/>
        <w:rPr>
          <w:rFonts w:ascii="宋体" w:hAnsi="宋体"/>
          <w:sz w:val="24"/>
          <w:szCs w:val="24"/>
        </w:rPr>
      </w:pPr>
      <w:r>
        <w:rPr>
          <w:rFonts w:hint="eastAsia" w:ascii="宋体" w:hAnsi="宋体"/>
          <w:sz w:val="24"/>
          <w:szCs w:val="24"/>
        </w:rPr>
        <w:t>7、承诺函；</w:t>
      </w:r>
    </w:p>
    <w:p>
      <w:pPr>
        <w:spacing w:line="430" w:lineRule="exact"/>
        <w:ind w:firstLine="480" w:firstLineChars="200"/>
        <w:jc w:val="left"/>
        <w:rPr>
          <w:rFonts w:ascii="宋体" w:hAnsi="宋体"/>
          <w:sz w:val="24"/>
          <w:szCs w:val="24"/>
        </w:rPr>
      </w:pPr>
      <w:r>
        <w:rPr>
          <w:rFonts w:hint="eastAsia" w:ascii="宋体" w:hAnsi="宋体"/>
          <w:sz w:val="24"/>
          <w:szCs w:val="24"/>
        </w:rPr>
        <w:t>8、谈判文件要求和供应商认为需要提供的其它说明和资料。</w:t>
      </w:r>
    </w:p>
    <w:p>
      <w:pPr>
        <w:spacing w:line="430" w:lineRule="exact"/>
        <w:ind w:firstLine="480" w:firstLineChars="200"/>
        <w:jc w:val="left"/>
        <w:rPr>
          <w:rFonts w:ascii="宋体" w:hAnsi="宋体"/>
          <w:sz w:val="24"/>
          <w:szCs w:val="24"/>
        </w:rPr>
      </w:pPr>
      <w:r>
        <w:rPr>
          <w:rFonts w:hint="eastAsia" w:ascii="宋体" w:hAnsi="宋体"/>
          <w:sz w:val="24"/>
          <w:szCs w:val="24"/>
        </w:rPr>
        <w:t>9、最终报价</w:t>
      </w:r>
      <w:r>
        <w:rPr>
          <w:rFonts w:hint="eastAsia" w:ascii="宋体" w:hAnsi="宋体"/>
          <w:sz w:val="24"/>
          <w:szCs w:val="24"/>
          <w:lang w:val="en-US" w:eastAsia="zh-CN"/>
        </w:rPr>
        <w:t>书</w:t>
      </w:r>
      <w:r>
        <w:rPr>
          <w:rFonts w:hint="eastAsia" w:ascii="宋体" w:hAnsi="宋体"/>
          <w:sz w:val="24"/>
          <w:szCs w:val="24"/>
        </w:rPr>
        <w:t xml:space="preserve"> </w:t>
      </w:r>
    </w:p>
    <w:p>
      <w:pPr>
        <w:pStyle w:val="4"/>
        <w:spacing w:before="0" w:after="0" w:line="430" w:lineRule="exact"/>
        <w:jc w:val="center"/>
        <w:rPr>
          <w:rFonts w:ascii="宋体" w:hAnsi="宋体" w:eastAsia="宋体" w:cs="宋体"/>
          <w:sz w:val="24"/>
          <w:szCs w:val="24"/>
        </w:rPr>
      </w:pPr>
      <w:bookmarkStart w:id="64" w:name="_Toc21125"/>
      <w:r>
        <w:rPr>
          <w:rFonts w:hint="eastAsia" w:ascii="宋体" w:hAnsi="宋体" w:eastAsia="宋体" w:cs="宋体"/>
          <w:sz w:val="24"/>
          <w:szCs w:val="24"/>
        </w:rPr>
        <w:t>（四）响应文件的提交</w:t>
      </w:r>
      <w:bookmarkEnd w:id="64"/>
    </w:p>
    <w:p>
      <w:pPr>
        <w:spacing w:line="430" w:lineRule="exact"/>
        <w:ind w:firstLine="480" w:firstLineChars="200"/>
        <w:rPr>
          <w:rFonts w:ascii="宋体" w:hAnsi="宋体"/>
          <w:sz w:val="24"/>
          <w:szCs w:val="24"/>
        </w:rPr>
      </w:pPr>
      <w:bookmarkStart w:id="65" w:name="_Toc15127"/>
      <w:r>
        <w:rPr>
          <w:rFonts w:hint="eastAsia" w:ascii="宋体" w:hAnsi="宋体"/>
          <w:sz w:val="24"/>
          <w:szCs w:val="24"/>
        </w:rPr>
        <w:t>1.响应文件密封</w:t>
      </w:r>
    </w:p>
    <w:p>
      <w:pPr>
        <w:spacing w:line="43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pPr>
        <w:spacing w:line="43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pPr>
        <w:spacing w:line="43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pPr>
        <w:spacing w:line="430" w:lineRule="exact"/>
        <w:ind w:firstLine="480" w:firstLineChars="200"/>
        <w:rPr>
          <w:rFonts w:ascii="宋体" w:hAnsi="宋体"/>
          <w:sz w:val="24"/>
          <w:szCs w:val="24"/>
        </w:rPr>
      </w:pPr>
      <w:r>
        <w:rPr>
          <w:rFonts w:hint="eastAsia" w:ascii="宋体" w:hAnsi="宋体"/>
          <w:sz w:val="24"/>
          <w:szCs w:val="24"/>
        </w:rPr>
        <w:t xml:space="preserve">2.响应文件的提交 </w:t>
      </w:r>
    </w:p>
    <w:p>
      <w:pPr>
        <w:spacing w:line="43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pPr>
        <w:spacing w:line="43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pPr>
        <w:spacing w:line="43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pPr>
        <w:spacing w:line="43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pPr>
        <w:spacing w:line="430" w:lineRule="exact"/>
        <w:ind w:firstLine="480" w:firstLineChars="200"/>
        <w:rPr>
          <w:rFonts w:ascii="宋体" w:hAnsi="宋体"/>
          <w:sz w:val="24"/>
          <w:szCs w:val="24"/>
        </w:rPr>
      </w:pPr>
      <w:r>
        <w:rPr>
          <w:rFonts w:hint="eastAsia" w:ascii="宋体" w:hAnsi="宋体"/>
          <w:sz w:val="24"/>
          <w:szCs w:val="24"/>
        </w:rPr>
        <w:t>3.响应文件的修改和撤回</w:t>
      </w:r>
    </w:p>
    <w:p>
      <w:pPr>
        <w:spacing w:line="43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43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pPr>
        <w:pStyle w:val="4"/>
        <w:spacing w:before="0" w:after="0" w:line="430" w:lineRule="exact"/>
        <w:jc w:val="left"/>
        <w:rPr>
          <w:rFonts w:hint="eastAsia" w:ascii="宋体" w:hAnsi="宋体" w:eastAsia="宋体" w:cs="宋体"/>
          <w:b w:val="0"/>
          <w:bCs/>
          <w:sz w:val="24"/>
          <w:szCs w:val="24"/>
        </w:rPr>
      </w:pPr>
      <w:r>
        <w:rPr>
          <w:rFonts w:hint="eastAsia" w:ascii="宋体" w:hAnsi="宋体" w:eastAsia="宋体" w:cs="Times New Roman"/>
          <w:b w:val="0"/>
          <w:kern w:val="2"/>
          <w:sz w:val="24"/>
          <w:szCs w:val="24"/>
          <w:lang w:val="en-US" w:eastAsia="zh-CN" w:bidi="ar-SA"/>
        </w:rPr>
        <w:t>3.3提交响应文件截止时间后不得修改响应文件。但属于谈判小组在评审中发现的计算错误并进行核实的修改、按照谈判文件的变动情况和谈判小组的要求重新提交响应文件的，不在此列。</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（五）谈判程序</w:t>
      </w:r>
      <w:bookmarkEnd w:id="65"/>
    </w:p>
    <w:p>
      <w:pPr>
        <w:tabs>
          <w:tab w:val="left" w:pos="900"/>
        </w:tabs>
        <w:spacing w:line="430" w:lineRule="exact"/>
        <w:ind w:firstLine="480" w:firstLineChars="200"/>
        <w:rPr>
          <w:rFonts w:ascii="宋体" w:hAnsi="宋体"/>
          <w:sz w:val="24"/>
          <w:szCs w:val="24"/>
        </w:rPr>
      </w:pPr>
      <w:bookmarkStart w:id="66" w:name="_Toc16969"/>
      <w:r>
        <w:rPr>
          <w:rFonts w:hint="eastAsia" w:ascii="宋体" w:hAnsi="宋体"/>
          <w:sz w:val="24"/>
          <w:szCs w:val="24"/>
        </w:rPr>
        <w:t>1、谈判人员是按规定组成的三人或三人以上的谈判小组。</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2、供应商须符合下列条件：（1）营业执照符合采购文件要求；（2）资质等级符合采购文件规定；（3）供应商的项目经理资格符合采购文件规定；（4）供应商响应报价中清单内容与发布的工程量清单保持一致，未进行实质性修改和删减；（5）供应商工程量清单中的暂列金额与暂估价与采购人公布的一致；（6）其他要求均符合采购文件规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3、在掌握了供应商的基本情况后，谈判小组将按谈判现场签到顺序，与供应商分别进行谈判。</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4、谈判是</w:t>
      </w:r>
      <w:r>
        <w:rPr>
          <w:rFonts w:ascii="宋体" w:hAnsi="宋体"/>
          <w:sz w:val="24"/>
          <w:szCs w:val="24"/>
        </w:rPr>
        <w:t>分别</w:t>
      </w:r>
      <w:r>
        <w:rPr>
          <w:rFonts w:hint="eastAsia" w:ascii="宋体" w:hAnsi="宋体"/>
          <w:sz w:val="24"/>
          <w:szCs w:val="24"/>
        </w:rPr>
        <w:t>单独进行的。供应商不得与其他参与谈判的供应商相互串通；谈判小组也不得将与某一供应商的谈判情况向其他供应商及其关系人透露。</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5、谈判采用一轮谈判、两轮报价的方式进行。但最终采取多少轮谈判，由谈判小组视情况而定。</w:t>
      </w:r>
    </w:p>
    <w:p>
      <w:pPr>
        <w:keepNext w:val="0"/>
        <w:keepLines w:val="0"/>
        <w:pageBreakBefore w:val="0"/>
        <w:tabs>
          <w:tab w:val="left" w:pos="900"/>
        </w:tabs>
        <w:kinsoku/>
        <w:wordWrap/>
        <w:overflowPunct/>
        <w:topLinePunct w:val="0"/>
        <w:autoSpaceDE/>
        <w:autoSpaceDN/>
        <w:bidi w:val="0"/>
        <w:adjustRightInd/>
        <w:snapToGrid/>
        <w:spacing w:line="440" w:lineRule="exact"/>
        <w:ind w:left="0" w:firstLine="482" w:firstLineChars="200"/>
        <w:textAlignment w:val="auto"/>
        <w:rPr>
          <w:rFonts w:ascii="宋体" w:hAnsi="宋体"/>
          <w:b/>
          <w:bCs/>
          <w:color w:val="0070C0"/>
          <w:sz w:val="24"/>
          <w:szCs w:val="24"/>
          <w:u w:val="single"/>
        </w:rPr>
      </w:pPr>
      <w:r>
        <w:rPr>
          <w:rFonts w:hint="eastAsia" w:ascii="宋体" w:hAnsi="宋体"/>
          <w:b/>
          <w:bCs/>
          <w:color w:val="0070C0"/>
          <w:sz w:val="24"/>
          <w:szCs w:val="24"/>
        </w:rPr>
        <w:t>6、谈判结束后，谈判小组将要求所有符合条件的供应商在规定的时间内进行最后的报价。</w:t>
      </w:r>
      <w:r>
        <w:rPr>
          <w:rFonts w:hint="eastAsia" w:ascii="宋体" w:hAnsi="宋体"/>
          <w:b/>
          <w:bCs/>
          <w:color w:val="0070C0"/>
          <w:sz w:val="24"/>
          <w:szCs w:val="24"/>
          <w:u w:val="single"/>
        </w:rPr>
        <w:t>供应商应在谈判小组发出二轮报价指令后30分钟内完成报价，若供应商未在谈判小组规定的时间内提交最后的报价，则其前一轮报价即为该供应商最后的报价（后一轮报价不得高于前一轮报价，否则，报价无效）。</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谈判小组按以下步骤对各供应商最终报价依序进行评审：</w:t>
      </w:r>
      <w:r>
        <w:rPr>
          <w:rFonts w:ascii="宋体" w:hAnsi="宋体" w:cs="宋体"/>
          <w:color w:val="auto"/>
          <w:sz w:val="24"/>
          <w:szCs w:val="24"/>
        </w:rPr>
        <w:br w:type="textWrapping"/>
      </w:r>
      <w:r>
        <w:rPr>
          <w:rFonts w:ascii="宋体" w:hAnsi="宋体" w:cs="宋体"/>
          <w:color w:val="auto"/>
          <w:sz w:val="24"/>
          <w:szCs w:val="24"/>
        </w:rPr>
        <w:t>第一步，认定有效报价。各供应商的所有报价不得超过最高限价，且最终报价不得</w:t>
      </w:r>
    </w:p>
    <w:p>
      <w:pPr>
        <w:keepNext w:val="0"/>
        <w:keepLines w:val="0"/>
        <w:pageBreakBefore w:val="0"/>
        <w:widowControl/>
        <w:suppressLineNumbers w:val="0"/>
        <w:kinsoku/>
        <w:wordWrap/>
        <w:overflowPunct/>
        <w:topLinePunct w:val="0"/>
        <w:autoSpaceDE/>
        <w:autoSpaceDN/>
        <w:bidi w:val="0"/>
        <w:adjustRightInd/>
        <w:snapToGrid/>
        <w:spacing w:line="440" w:lineRule="exact"/>
        <w:ind w:left="480" w:leftChars="0" w:hanging="480" w:hangingChars="200"/>
        <w:jc w:val="left"/>
        <w:textAlignment w:val="auto"/>
      </w:pPr>
      <w:r>
        <w:rPr>
          <w:rFonts w:ascii="宋体" w:hAnsi="宋体" w:cs="宋体"/>
          <w:color w:val="auto"/>
          <w:sz w:val="24"/>
          <w:szCs w:val="24"/>
        </w:rPr>
        <w:t>高上一轮报价，否则报价无效；</w:t>
      </w:r>
      <w:r>
        <w:rPr>
          <w:rFonts w:ascii="宋体" w:hAnsi="宋体" w:cs="宋体"/>
          <w:color w:val="auto"/>
          <w:sz w:val="24"/>
          <w:szCs w:val="24"/>
        </w:rPr>
        <w:br w:type="textWrapping"/>
      </w:r>
      <w:r>
        <w:rPr>
          <w:rFonts w:hint="eastAsia" w:ascii="宋体" w:hAnsi="宋体" w:eastAsia="宋体" w:cs="宋体"/>
          <w:color w:val="FF0000"/>
          <w:kern w:val="0"/>
          <w:sz w:val="24"/>
          <w:szCs w:val="24"/>
          <w:lang w:val="en-US" w:eastAsia="zh-CN" w:bidi="ar"/>
        </w:rPr>
        <w:t xml:space="preserve">第二步，认定低于成本价的投标报价。供应商最终报价是否低于成本价，按如下规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则进行判定：供应商最终报价提交完毕后，由</w:t>
      </w:r>
      <w:r>
        <w:rPr>
          <w:rFonts w:hint="eastAsia" w:ascii="宋体" w:hAnsi="宋体" w:eastAsia="宋体" w:cs="宋体"/>
          <w:b/>
          <w:bCs/>
          <w:color w:val="FF0000"/>
          <w:kern w:val="0"/>
          <w:sz w:val="24"/>
          <w:szCs w:val="24"/>
          <w:lang w:val="en-US" w:eastAsia="zh-CN" w:bidi="ar"/>
        </w:rPr>
        <w:t>采购人代表</w:t>
      </w:r>
      <w:r>
        <w:rPr>
          <w:rFonts w:hint="eastAsia" w:ascii="宋体" w:hAnsi="宋体" w:eastAsia="宋体" w:cs="宋体"/>
          <w:color w:val="FF0000"/>
          <w:kern w:val="0"/>
          <w:sz w:val="24"/>
          <w:szCs w:val="24"/>
          <w:lang w:val="en-US" w:eastAsia="zh-CN" w:bidi="ar"/>
        </w:rPr>
        <w:t xml:space="preserve">在监督人员监督下，在开标现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场采用</w:t>
      </w:r>
      <w:r>
        <w:rPr>
          <w:rFonts w:hint="eastAsia" w:ascii="宋体" w:hAnsi="宋体" w:eastAsia="宋体" w:cs="宋体"/>
          <w:b/>
          <w:bCs/>
          <w:color w:val="FF0000"/>
          <w:kern w:val="0"/>
          <w:sz w:val="24"/>
          <w:szCs w:val="24"/>
          <w:lang w:val="en-US" w:eastAsia="zh-CN" w:bidi="ar"/>
        </w:rPr>
        <w:t>“双随机”方法抽取系数</w:t>
      </w:r>
      <w:r>
        <w:rPr>
          <w:rFonts w:hint="eastAsia" w:ascii="宋体" w:hAnsi="宋体" w:eastAsia="宋体" w:cs="宋体"/>
          <w:color w:val="FF0000"/>
          <w:kern w:val="0"/>
          <w:sz w:val="24"/>
          <w:szCs w:val="24"/>
          <w:lang w:val="en-US" w:eastAsia="zh-CN" w:bidi="ar"/>
        </w:rPr>
        <w:t xml:space="preserve">（系数值共 7 个，分别为：92%，93%，94%，95%、96%、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 xml:space="preserve">97%、98%）。凡供应商最终报价低于所有有效的供应商最终报价算术平均数与抽中系数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 xml:space="preserve">的乘积的（计算结果保留两位小数），均按低于成本价判定，该供应商报价按无效报价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处理，不再进行后续评审，不得被推荐为成交供应商。</w:t>
      </w:r>
    </w:p>
    <w:p>
      <w:pPr>
        <w:pStyle w:val="98"/>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cs="宋体"/>
          <w:color w:val="FF0000"/>
          <w:sz w:val="24"/>
          <w:szCs w:val="24"/>
          <w:lang w:val="en-US" w:eastAsia="zh-CN"/>
        </w:rPr>
      </w:pPr>
      <w:r>
        <w:rPr>
          <w:rFonts w:hint="eastAsia" w:ascii="宋体" w:hAnsi="宋体" w:cs="宋体"/>
          <w:color w:val="FF0000"/>
          <w:sz w:val="24"/>
          <w:szCs w:val="24"/>
          <w:lang w:eastAsia="zh-CN"/>
        </w:rPr>
        <w:t>“双随机”抽取系数操作规程统一如下：分两个环节，（</w:t>
      </w:r>
      <w:r>
        <w:rPr>
          <w:rFonts w:hint="eastAsia" w:ascii="宋体" w:hAnsi="宋体" w:cs="宋体"/>
          <w:color w:val="FF0000"/>
          <w:sz w:val="24"/>
          <w:szCs w:val="24"/>
          <w:lang w:val="en-US" w:eastAsia="zh-CN"/>
        </w:rPr>
        <w:t>1</w:t>
      </w:r>
      <w:r>
        <w:rPr>
          <w:rFonts w:hint="eastAsia" w:ascii="宋体" w:hAnsi="宋体" w:cs="宋体"/>
          <w:color w:val="FF0000"/>
          <w:sz w:val="24"/>
          <w:szCs w:val="24"/>
          <w:lang w:eastAsia="zh-CN"/>
        </w:rPr>
        <w:t>）在监督人员监督下，招标代理工作人员先检查摇号机状态，确认摇号机工作状态正常后，向摇号机中随机放入</w:t>
      </w:r>
      <w:r>
        <w:rPr>
          <w:rFonts w:hint="eastAsia" w:ascii="宋体" w:hAnsi="宋体" w:cs="宋体"/>
          <w:color w:val="FF0000"/>
          <w:sz w:val="24"/>
          <w:szCs w:val="24"/>
          <w:lang w:val="en-US" w:eastAsia="zh-CN"/>
        </w:rPr>
        <w:t>14个号码球（号码球无需连号），由采购人代表分7次按压抽取按钮，分别摇出7个号码球，摇出的7个号码球按出球先后顺序，分别对应</w:t>
      </w:r>
      <w:r>
        <w:rPr>
          <w:rFonts w:ascii="宋体" w:hAnsi="宋体" w:cs="宋体"/>
          <w:color w:val="FF0000"/>
          <w:sz w:val="24"/>
          <w:szCs w:val="24"/>
        </w:rPr>
        <w:t>92%，93%，94%，95%、96%、97%、98%</w:t>
      </w:r>
      <w:r>
        <w:rPr>
          <w:rFonts w:hint="eastAsia" w:ascii="宋体" w:hAnsi="宋体" w:cs="宋体"/>
          <w:color w:val="FF0000"/>
          <w:sz w:val="24"/>
          <w:szCs w:val="24"/>
          <w:lang w:eastAsia="zh-CN"/>
        </w:rPr>
        <w:t>共</w:t>
      </w:r>
      <w:r>
        <w:rPr>
          <w:rFonts w:hint="eastAsia" w:ascii="宋体" w:hAnsi="宋体" w:cs="宋体"/>
          <w:color w:val="FF0000"/>
          <w:sz w:val="24"/>
          <w:szCs w:val="24"/>
          <w:lang w:val="en-US" w:eastAsia="zh-CN"/>
        </w:rPr>
        <w:t>7个系数：（2）招标代理工作人员清空摇号机后，再将上述摇出的7个号码球依次放入摇号机中，再由采购人代表从中摇出一个号码球，摇出的这个号码球对应的系数，即为本项目的抽中系数。</w:t>
      </w:r>
    </w:p>
    <w:p>
      <w:pPr>
        <w:pStyle w:val="98"/>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ind w:left="0" w:leftChars="0" w:firstLine="480" w:firstLineChars="200"/>
        <w:jc w:val="both"/>
        <w:textAlignment w:val="auto"/>
      </w:pPr>
      <w:r>
        <w:rPr>
          <w:rFonts w:hint="eastAsia" w:ascii="宋体" w:hAnsi="宋体" w:cs="宋体"/>
          <w:color w:val="FF0000"/>
          <w:sz w:val="24"/>
          <w:szCs w:val="24"/>
          <w:lang w:val="en-US" w:eastAsia="zh-CN"/>
        </w:rPr>
        <w:t>（3）抽取工作相关要求。一是除遇设备或网络故障外，招标代理机构应保证整个抽取过程视频通过网上开标大厅向所有供应商开放，保证抽取工作公开透明；二是招标代理机构要将上述抽取过程简要情况（特别是依次摇出的7个号码球球号分别是多少？最终摇中的号码球球号及对应系数同步实时公布）在网上开标大厅实时同步公布，如遇系统故障，无法实时公布，应报现场监督人员确认并记录在案备查；三是上述系数抽取过程，招标代理应制作抽取结果记录表，由采购人代表、监督人员、招标代理工作人员三方签字确认；四是除摇号机突遇故障无法继续使用并报现场监督人员和交易中心管理人员检查确认外，同一个项目整个摇号抽取过程中应使用同一台摇号机，中途不得更换。五是除遇设备或网络故障外，招标代理机构原则上应在最终报价结束时间截止后半小时内组织完成系数抽取工作，并向所有供应商公布抽取结果；六是如有招标人或招标代理机构未按上述统一规程要求开展“双随机”抽取系数，经监督部门调查确认属实的，抽取结果及依据此抽取结果进一步作出的评审结论一律无效，监督部门将视情作出重新组织抽取或项目重新组织采购的处理决定，并对相关违规人员予以处理。</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left="0" w:leftChars="0" w:firstLine="480" w:firstLineChars="200"/>
        <w:textAlignment w:val="auto"/>
        <w:rPr>
          <w:rFonts w:ascii="宋体" w:hAnsi="宋体" w:cs="宋体"/>
          <w:color w:val="auto"/>
          <w:sz w:val="24"/>
          <w:szCs w:val="24"/>
        </w:rPr>
      </w:pPr>
      <w:r>
        <w:rPr>
          <w:rFonts w:ascii="宋体" w:hAnsi="宋体" w:cs="宋体"/>
          <w:color w:val="auto"/>
          <w:sz w:val="24"/>
          <w:szCs w:val="24"/>
        </w:rPr>
        <w:t>第三步，特殊情况处理。若上述评审均合格的前三名供应商中，排序第一的（即：</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经评审合格的最终报价最低的）供应商有两家或两家以上时，则由采购人按照公开、公</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平、公正的原则，于开标当天在开标现场在监督人员监督下公开确定成交供应商。具体</w:t>
      </w:r>
    </w:p>
    <w:p>
      <w:pPr>
        <w:keepNext w:val="0"/>
        <w:keepLines w:val="0"/>
        <w:pageBreakBefore w:val="0"/>
        <w:tabs>
          <w:tab w:val="left" w:pos="900"/>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4"/>
          <w:szCs w:val="24"/>
        </w:rPr>
      </w:pPr>
      <w:r>
        <w:rPr>
          <w:rFonts w:ascii="宋体" w:hAnsi="宋体" w:cs="宋体"/>
          <w:color w:val="auto"/>
          <w:sz w:val="24"/>
          <w:szCs w:val="24"/>
        </w:rPr>
        <w:t>的公开确定方式由采购人决定。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7、供应商必须在规定的时间内将自己在谈判中作出的澄清、变动以及最终的报价，经法定代表人或被授权代表签字后，提交给谈判小组。</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（六）评审及异常情况处理</w:t>
      </w:r>
      <w:bookmarkEnd w:id="66"/>
    </w:p>
    <w:bookmarkEnd w:id="57"/>
    <w:bookmarkEnd w:id="58"/>
    <w:p>
      <w:pPr>
        <w:spacing w:line="430" w:lineRule="exact"/>
        <w:ind w:firstLine="480" w:firstLineChars="200"/>
        <w:rPr>
          <w:rFonts w:ascii="宋体" w:hAnsi="宋体" w:cs="Arial"/>
          <w:sz w:val="24"/>
          <w:szCs w:val="24"/>
        </w:rPr>
      </w:pPr>
      <w:bookmarkStart w:id="67" w:name="_Toc18914"/>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w:t>
      </w:r>
    </w:p>
    <w:p>
      <w:pPr>
        <w:spacing w:line="43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pPr>
        <w:spacing w:line="43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（1）符合专业条件的供应商或者对采购文件作实质性响应的供应商不足三家的；</w:t>
      </w:r>
    </w:p>
    <w:p>
      <w:pPr>
        <w:spacing w:line="430" w:lineRule="exact"/>
        <w:ind w:firstLine="480" w:firstLineChars="200"/>
        <w:rPr>
          <w:rFonts w:ascii="宋体" w:hAnsi="宋体"/>
          <w:sz w:val="24"/>
          <w:szCs w:val="24"/>
        </w:rPr>
      </w:pPr>
      <w:r>
        <w:rPr>
          <w:rFonts w:hint="eastAsia" w:ascii="宋体" w:hAnsi="宋体"/>
          <w:sz w:val="24"/>
          <w:szCs w:val="24"/>
        </w:rPr>
        <w:t>（2）供应商的报价均超过了采购预算，经过多轮谈判仍不能降到预算内、且采购人不能支付的；</w:t>
      </w:r>
    </w:p>
    <w:p>
      <w:pPr>
        <w:spacing w:line="430" w:lineRule="exact"/>
        <w:ind w:firstLine="480" w:firstLineChars="200"/>
        <w:rPr>
          <w:rFonts w:ascii="宋体" w:hAnsi="宋体"/>
          <w:sz w:val="24"/>
          <w:szCs w:val="24"/>
        </w:rPr>
      </w:pPr>
      <w:r>
        <w:rPr>
          <w:rFonts w:hint="eastAsia" w:ascii="宋体" w:hAnsi="宋体"/>
          <w:sz w:val="24"/>
          <w:szCs w:val="24"/>
        </w:rPr>
        <w:t>（3）经过谈判，供应商所提供的货物服务仍无法满足谈判文件实质性要求、影响工作的；</w:t>
      </w:r>
    </w:p>
    <w:p>
      <w:pPr>
        <w:spacing w:line="430" w:lineRule="exact"/>
        <w:ind w:firstLine="480" w:firstLineChars="200"/>
        <w:rPr>
          <w:rFonts w:ascii="宋体" w:hAnsi="宋体"/>
          <w:sz w:val="24"/>
          <w:szCs w:val="24"/>
        </w:rPr>
      </w:pPr>
      <w:r>
        <w:rPr>
          <w:rFonts w:hint="eastAsia" w:ascii="宋体" w:hAnsi="宋体"/>
          <w:sz w:val="24"/>
          <w:szCs w:val="24"/>
        </w:rPr>
        <w:t>（4）出现影响采购公正的违法、违规行为的；</w:t>
      </w:r>
    </w:p>
    <w:p>
      <w:pPr>
        <w:spacing w:line="430" w:lineRule="exact"/>
        <w:ind w:firstLine="480" w:firstLineChars="200"/>
        <w:rPr>
          <w:rFonts w:ascii="宋体" w:hAnsi="宋体"/>
          <w:sz w:val="24"/>
          <w:szCs w:val="24"/>
        </w:rPr>
      </w:pPr>
      <w:r>
        <w:rPr>
          <w:rFonts w:hint="eastAsia" w:ascii="宋体" w:hAnsi="宋体"/>
          <w:sz w:val="24"/>
          <w:szCs w:val="24"/>
        </w:rPr>
        <w:t>（5）因重大变故，采购任务取消的。</w:t>
      </w:r>
    </w:p>
    <w:p>
      <w:pPr>
        <w:spacing w:line="430" w:lineRule="exact"/>
        <w:ind w:firstLine="480" w:firstLineChars="200"/>
        <w:rPr>
          <w:rFonts w:ascii="宋体" w:hAnsi="宋体"/>
          <w:sz w:val="24"/>
          <w:szCs w:val="24"/>
        </w:rPr>
      </w:pPr>
      <w:r>
        <w:rPr>
          <w:rFonts w:hint="eastAsia" w:ascii="宋体" w:hAnsi="宋体"/>
          <w:sz w:val="24"/>
          <w:szCs w:val="24"/>
        </w:rPr>
        <w:t>3、重新组织谈判，采购单位将通过</w:t>
      </w:r>
      <w:r>
        <w:rPr>
          <w:rFonts w:hint="eastAsia" w:ascii="宋体" w:hAnsi="宋体"/>
          <w:sz w:val="24"/>
          <w:szCs w:val="24"/>
          <w:lang w:eastAsia="zh-CN"/>
        </w:rPr>
        <w:t>霍山永达工程咨询有限公司网站</w:t>
      </w:r>
      <w:r>
        <w:rPr>
          <w:rFonts w:hint="eastAsia" w:ascii="宋体" w:hAnsi="宋体"/>
          <w:sz w:val="24"/>
          <w:szCs w:val="24"/>
        </w:rPr>
        <w:t>进行公告。</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67"/>
    </w:p>
    <w:p>
      <w:pPr>
        <w:spacing w:line="430" w:lineRule="exact"/>
        <w:ind w:firstLine="480" w:firstLineChars="200"/>
        <w:rPr>
          <w:rFonts w:ascii="宋体" w:hAnsi="宋体"/>
          <w:sz w:val="24"/>
          <w:szCs w:val="24"/>
        </w:rPr>
      </w:pPr>
      <w:r>
        <w:rPr>
          <w:rFonts w:hint="eastAsia" w:ascii="宋体" w:hAnsi="宋体"/>
          <w:sz w:val="24"/>
          <w:szCs w:val="24"/>
        </w:rPr>
        <w:t>1、响应报价应包括国家规定的增值税税金，除供应商须知前附表另有规定外，增值税税金按一般计税方法计算。供应商应按“响应文件格式”的要求进行报价并填写工程量清单相应表格。</w:t>
      </w:r>
    </w:p>
    <w:p>
      <w:pPr>
        <w:spacing w:line="430" w:lineRule="exact"/>
        <w:ind w:firstLine="480" w:firstLineChars="200"/>
        <w:rPr>
          <w:rFonts w:ascii="宋体" w:hAnsi="宋体"/>
          <w:sz w:val="24"/>
          <w:szCs w:val="24"/>
        </w:rPr>
      </w:pPr>
      <w:r>
        <w:rPr>
          <w:rFonts w:hint="eastAsia" w:ascii="宋体" w:hAnsi="宋体"/>
          <w:sz w:val="24"/>
          <w:szCs w:val="24"/>
        </w:rPr>
        <w:t>2、本项目由采购人提供工程量清单，由供应商按照采购人提供的工程量清单填写本合同各工程子目的单价、合价和总额价。</w:t>
      </w:r>
    </w:p>
    <w:p>
      <w:pPr>
        <w:spacing w:line="430" w:lineRule="exact"/>
        <w:ind w:firstLine="480" w:firstLineChars="200"/>
        <w:rPr>
          <w:rFonts w:ascii="宋体" w:hAnsi="宋体" w:cs="宋体"/>
          <w:sz w:val="24"/>
          <w:szCs w:val="24"/>
        </w:rPr>
      </w:pPr>
      <w:r>
        <w:rPr>
          <w:rFonts w:hint="eastAsia" w:ascii="宋体" w:hAnsi="宋体"/>
          <w:sz w:val="24"/>
          <w:szCs w:val="24"/>
        </w:rPr>
        <w:t>3、</w:t>
      </w:r>
      <w:r>
        <w:rPr>
          <w:rFonts w:ascii="宋体" w:hAnsi="宋体" w:cs="宋体"/>
          <w:sz w:val="24"/>
          <w:szCs w:val="24"/>
        </w:rPr>
        <w:t>本项目采用固定总价形式报价，供应商应仔细阅读</w:t>
      </w:r>
      <w:r>
        <w:rPr>
          <w:rFonts w:hint="eastAsia" w:ascii="宋体" w:hAnsi="宋体" w:cs="宋体"/>
          <w:sz w:val="24"/>
          <w:szCs w:val="24"/>
          <w:lang w:val="en-US" w:eastAsia="zh-CN"/>
        </w:rPr>
        <w:t>谈判</w:t>
      </w:r>
      <w:r>
        <w:rPr>
          <w:rFonts w:ascii="宋体" w:hAnsi="宋体" w:cs="宋体"/>
          <w:sz w:val="24"/>
          <w:szCs w:val="24"/>
        </w:rPr>
        <w:t>文件，了解拟</w:t>
      </w:r>
      <w:r>
        <w:rPr>
          <w:rFonts w:hint="eastAsia" w:ascii="宋体" w:hAnsi="宋体" w:cs="宋体"/>
          <w:sz w:val="24"/>
          <w:szCs w:val="24"/>
          <w:lang w:val="en-US" w:eastAsia="zh-CN"/>
        </w:rPr>
        <w:t>响应</w:t>
      </w:r>
      <w:r>
        <w:rPr>
          <w:rFonts w:ascii="宋体" w:hAnsi="宋体" w:cs="宋体"/>
          <w:sz w:val="24"/>
          <w:szCs w:val="24"/>
        </w:rPr>
        <w:t>项目的全部工程内容。供应商的响应报价应是</w:t>
      </w:r>
      <w:r>
        <w:rPr>
          <w:rFonts w:hint="eastAsia" w:ascii="宋体" w:hAnsi="宋体" w:cs="宋体"/>
          <w:sz w:val="24"/>
          <w:szCs w:val="24"/>
          <w:lang w:eastAsia="zh-CN"/>
        </w:rPr>
        <w:t>谈判文件</w:t>
      </w:r>
      <w:r>
        <w:rPr>
          <w:rFonts w:ascii="宋体" w:hAnsi="宋体" w:cs="宋体"/>
          <w:sz w:val="24"/>
          <w:szCs w:val="24"/>
        </w:rPr>
        <w:t>所确定的</w:t>
      </w:r>
      <w:r>
        <w:rPr>
          <w:rFonts w:hint="eastAsia" w:ascii="宋体" w:hAnsi="宋体" w:cs="宋体"/>
          <w:sz w:val="24"/>
          <w:szCs w:val="24"/>
          <w:lang w:val="en-US" w:eastAsia="zh-CN"/>
        </w:rPr>
        <w:t>采购需求</w:t>
      </w:r>
      <w:r>
        <w:rPr>
          <w:rFonts w:ascii="宋体" w:hAnsi="宋体" w:cs="宋体"/>
          <w:sz w:val="24"/>
          <w:szCs w:val="24"/>
        </w:rPr>
        <w:t>内全部工程内容的价格体现，但其报价不得低于供应商个别成本价。供应商应根据当前建筑市场行情，结合工程实际情况及本单位的施工方法、材料来源渠道、施工机械装备、施工管理水平等，对响应费用进行分析、测算，实事求是地确定响应报价（不得低于成本价），同时要考虑施工过程中的风险费用</w:t>
      </w:r>
      <w:r>
        <w:rPr>
          <w:rFonts w:hint="eastAsia" w:ascii="宋体" w:hAnsi="宋体" w:cs="宋体"/>
          <w:sz w:val="24"/>
          <w:szCs w:val="24"/>
        </w:rPr>
        <w:t>，</w:t>
      </w:r>
      <w:r>
        <w:rPr>
          <w:rFonts w:ascii="宋体" w:hAnsi="宋体" w:cs="宋体"/>
          <w:sz w:val="24"/>
          <w:szCs w:val="24"/>
        </w:rPr>
        <w:t>任何响应优惠都体现在报价内。采购人不要求供应商采用总价优惠或以总价百分比优惠的方式进行响应报价，其优惠应直接体现在各项响应报价的综合单价中。供应商不得以自有机械闲置、自有材料为由等不计成本地进行响应报价。供应商在响应文件递交截止时间前修改报价单中响应总报价，应同时修改响应文件“已标价工程量清单”中的相应报价。</w:t>
      </w:r>
    </w:p>
    <w:p>
      <w:pPr>
        <w:spacing w:line="430" w:lineRule="exact"/>
        <w:ind w:firstLine="480" w:firstLineChars="200"/>
      </w:pPr>
      <w:r>
        <w:rPr>
          <w:rFonts w:hint="eastAsia" w:ascii="宋体" w:hAnsi="宋体" w:cs="宋体"/>
          <w:sz w:val="24"/>
          <w:szCs w:val="24"/>
        </w:rPr>
        <w:t>4、</w:t>
      </w:r>
      <w:r>
        <w:rPr>
          <w:rFonts w:hint="eastAsia" w:ascii="宋体" w:hAnsi="宋体"/>
          <w:sz w:val="24"/>
          <w:szCs w:val="24"/>
        </w:rPr>
        <w:t>供应商应自行对工程现场和周围环境进行勘察，以获取编制响应文件和签署合同所需的资料。勘察现场所发生的费用由供应商自己承担。采购人向供应商提供的有关工程现场的资料和数据，是采购人现有的能使供应商利用的资料。采购人对供应商由此而做出的推论、理解和结论概不负责。供应商因自身原因未到工程现场实地踏勘的，成交后签订合同时和履约过程中，不得以不完全了解现场情况为由，提出任何形式的增加合同外造价或索赔的要求。</w:t>
      </w:r>
    </w:p>
    <w:p>
      <w:pPr>
        <w:spacing w:line="430" w:lineRule="exact"/>
        <w:ind w:firstLine="480" w:firstLineChars="200"/>
        <w:rPr>
          <w:rFonts w:ascii="宋体" w:hAnsi="宋体"/>
          <w:sz w:val="24"/>
          <w:szCs w:val="24"/>
        </w:rPr>
      </w:pPr>
      <w:r>
        <w:rPr>
          <w:rFonts w:hint="eastAsia" w:ascii="宋体" w:hAnsi="宋体"/>
          <w:sz w:val="24"/>
          <w:szCs w:val="24"/>
        </w:rPr>
        <w:t>5、供应商如果发现工程量清单中的数量与图纸中数量不一致时，以工程量清单中列出的数量为准。</w:t>
      </w:r>
    </w:p>
    <w:p>
      <w:pPr>
        <w:spacing w:line="430" w:lineRule="exact"/>
        <w:ind w:firstLine="480" w:firstLineChars="200"/>
        <w:rPr>
          <w:rFonts w:ascii="宋体" w:hAnsi="宋体"/>
          <w:sz w:val="24"/>
          <w:szCs w:val="24"/>
        </w:rPr>
      </w:pPr>
      <w:r>
        <w:rPr>
          <w:rFonts w:hint="eastAsia" w:ascii="宋体" w:hAnsi="宋体"/>
          <w:sz w:val="24"/>
          <w:szCs w:val="24"/>
        </w:rPr>
        <w:t>6、采购人设有最高限价的，供应商的响应报价不得超过最高限价。</w:t>
      </w:r>
    </w:p>
    <w:p>
      <w:pPr>
        <w:spacing w:line="430" w:lineRule="exact"/>
        <w:ind w:firstLine="480" w:firstLineChars="200"/>
        <w:rPr>
          <w:rFonts w:ascii="宋体" w:hAnsi="宋体" w:cs="宋体"/>
          <w:sz w:val="24"/>
          <w:szCs w:val="24"/>
        </w:rPr>
      </w:pPr>
      <w:r>
        <w:rPr>
          <w:rFonts w:ascii="宋体" w:hAnsi="宋体"/>
          <w:sz w:val="24"/>
          <w:szCs w:val="24"/>
        </w:rPr>
        <w:t>7</w:t>
      </w:r>
      <w:r>
        <w:rPr>
          <w:rFonts w:hint="eastAsia" w:ascii="宋体" w:hAnsi="宋体"/>
          <w:sz w:val="24"/>
          <w:szCs w:val="24"/>
        </w:rPr>
        <w:t>、供应商应确保其所提供的响应资料的真实性、有效性及合法性，否则，由此引起的任何责任由其自行承担。</w:t>
      </w:r>
    </w:p>
    <w:p>
      <w:pPr>
        <w:pStyle w:val="4"/>
        <w:spacing w:before="0" w:after="0" w:line="430" w:lineRule="exact"/>
        <w:jc w:val="center"/>
        <w:rPr>
          <w:rFonts w:ascii="宋体" w:hAnsi="宋体" w:eastAsia="宋体" w:cs="宋体"/>
          <w:sz w:val="24"/>
          <w:szCs w:val="24"/>
        </w:rPr>
      </w:pPr>
      <w:bookmarkStart w:id="68" w:name="_Toc8394"/>
      <w:r>
        <w:rPr>
          <w:rFonts w:hint="eastAsia" w:ascii="宋体" w:hAnsi="宋体" w:eastAsia="宋体" w:cs="宋体"/>
          <w:sz w:val="24"/>
          <w:szCs w:val="24"/>
        </w:rPr>
        <w:t>（八）合同的签订</w:t>
      </w:r>
      <w:bookmarkEnd w:id="68"/>
    </w:p>
    <w:p>
      <w:pPr>
        <w:spacing w:line="430" w:lineRule="exact"/>
        <w:ind w:firstLine="480" w:firstLineChars="200"/>
        <w:rPr>
          <w:rFonts w:ascii="宋体" w:hAnsi="宋体"/>
          <w:sz w:val="24"/>
          <w:szCs w:val="24"/>
        </w:rPr>
      </w:pPr>
      <w:r>
        <w:rPr>
          <w:rFonts w:hint="eastAsia" w:ascii="宋体" w:hAnsi="宋体"/>
          <w:sz w:val="24"/>
          <w:szCs w:val="24"/>
        </w:rPr>
        <w:t>1、采购人授权谈判小组确认成交人。</w:t>
      </w:r>
    </w:p>
    <w:p>
      <w:pPr>
        <w:spacing w:line="430" w:lineRule="exact"/>
        <w:ind w:firstLine="480" w:firstLineChars="200"/>
        <w:rPr>
          <w:rFonts w:ascii="宋体" w:hAnsi="宋体"/>
          <w:sz w:val="24"/>
          <w:szCs w:val="24"/>
        </w:rPr>
      </w:pPr>
      <w:r>
        <w:rPr>
          <w:rFonts w:hint="eastAsia" w:ascii="宋体" w:hAnsi="宋体"/>
          <w:sz w:val="24"/>
          <w:szCs w:val="24"/>
        </w:rPr>
        <w:t>2、质疑期</w:t>
      </w:r>
      <w:r>
        <w:rPr>
          <w:rFonts w:ascii="宋体" w:hAnsi="宋体"/>
          <w:sz w:val="24"/>
          <w:szCs w:val="24"/>
        </w:rPr>
        <w:t>内如未接到供应商的质疑和投诉</w:t>
      </w:r>
      <w:r>
        <w:rPr>
          <w:rFonts w:hint="eastAsia" w:ascii="宋体" w:hAnsi="宋体"/>
          <w:sz w:val="24"/>
          <w:szCs w:val="24"/>
        </w:rPr>
        <w:t>，将向成交供应商发出成交通知书。</w:t>
      </w:r>
    </w:p>
    <w:p>
      <w:pPr>
        <w:spacing w:line="430" w:lineRule="exact"/>
        <w:ind w:firstLine="480" w:firstLineChars="200"/>
        <w:rPr>
          <w:rFonts w:ascii="宋体" w:hAnsi="宋体"/>
          <w:sz w:val="24"/>
          <w:szCs w:val="24"/>
        </w:rPr>
      </w:pPr>
      <w:r>
        <w:rPr>
          <w:rFonts w:hint="eastAsia" w:ascii="宋体" w:hAnsi="宋体"/>
          <w:sz w:val="24"/>
          <w:szCs w:val="24"/>
        </w:rPr>
        <w:t>3、成交供应商在成交通知书发出</w:t>
      </w:r>
      <w:r>
        <w:rPr>
          <w:rFonts w:ascii="宋体" w:hAnsi="宋体"/>
          <w:sz w:val="24"/>
          <w:szCs w:val="24"/>
        </w:rPr>
        <w:t>后</w:t>
      </w:r>
      <w:r>
        <w:rPr>
          <w:rFonts w:hint="eastAsia" w:ascii="宋体" w:hAnsi="宋体"/>
          <w:sz w:val="24"/>
          <w:szCs w:val="24"/>
          <w:lang w:val="en-US" w:eastAsia="zh-CN"/>
        </w:rPr>
        <w:t>30</w:t>
      </w:r>
      <w:r>
        <w:rPr>
          <w:rFonts w:hint="eastAsia" w:ascii="宋体" w:hAnsi="宋体"/>
          <w:sz w:val="24"/>
          <w:szCs w:val="24"/>
        </w:rPr>
        <w:t>个工作</w:t>
      </w:r>
      <w:r>
        <w:rPr>
          <w:rFonts w:ascii="宋体" w:hAnsi="宋体"/>
          <w:sz w:val="24"/>
          <w:szCs w:val="24"/>
        </w:rPr>
        <w:t>日内与</w:t>
      </w:r>
      <w:r>
        <w:rPr>
          <w:rFonts w:hint="eastAsia" w:ascii="宋体" w:hAnsi="宋体"/>
          <w:sz w:val="24"/>
          <w:szCs w:val="24"/>
        </w:rPr>
        <w:t>采购单位</w:t>
      </w:r>
      <w:r>
        <w:rPr>
          <w:rFonts w:ascii="宋体" w:hAnsi="宋体"/>
          <w:sz w:val="24"/>
          <w:szCs w:val="24"/>
        </w:rPr>
        <w:t>签订合同。</w:t>
      </w:r>
      <w:r>
        <w:rPr>
          <w:rFonts w:hint="eastAsia" w:ascii="宋体" w:hAnsi="宋体"/>
          <w:sz w:val="24"/>
          <w:szCs w:val="24"/>
        </w:rPr>
        <w:t>采购文件、成交供应商的响应文件及澄清文件等，均作为合同的附件。</w:t>
      </w:r>
    </w:p>
    <w:p>
      <w:pPr>
        <w:spacing w:line="43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采购</w:t>
      </w:r>
      <w:r>
        <w:rPr>
          <w:rFonts w:hint="eastAsia" w:ascii="宋体" w:hAnsi="宋体"/>
          <w:sz w:val="24"/>
          <w:szCs w:val="24"/>
        </w:rPr>
        <w:t>单位</w:t>
      </w:r>
      <w:r>
        <w:rPr>
          <w:rFonts w:ascii="宋体" w:hAnsi="宋体"/>
          <w:sz w:val="24"/>
          <w:szCs w:val="24"/>
        </w:rPr>
        <w:t>在签订合同时，可以在不改变合同其他条款的前提下变更采购数量，但变更的金额不得超过成交总价的10%。</w:t>
      </w:r>
    </w:p>
    <w:p>
      <w:pPr>
        <w:spacing w:line="43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sz w:val="24"/>
          <w:szCs w:val="24"/>
        </w:rPr>
        <w:t>或重新组织采购</w:t>
      </w:r>
      <w:r>
        <w:rPr>
          <w:rFonts w:ascii="宋体" w:hAnsi="宋体"/>
          <w:sz w:val="24"/>
          <w:szCs w:val="24"/>
        </w:rPr>
        <w:t>。</w:t>
      </w:r>
    </w:p>
    <w:p>
      <w:pPr>
        <w:spacing w:line="430" w:lineRule="exact"/>
        <w:ind w:firstLine="480" w:firstLineChars="200"/>
        <w:rPr>
          <w:rFonts w:ascii="宋体" w:hAnsi="宋体"/>
          <w:sz w:val="24"/>
          <w:szCs w:val="24"/>
        </w:rPr>
      </w:pPr>
      <w:r>
        <w:rPr>
          <w:rFonts w:hint="eastAsia" w:ascii="宋体" w:hAnsi="宋体"/>
          <w:sz w:val="24"/>
          <w:szCs w:val="24"/>
        </w:rPr>
        <w:t>6、成交供应商无正当理由不与采购人订立合同的处罚依据：</w:t>
      </w:r>
    </w:p>
    <w:p>
      <w:pPr>
        <w:spacing w:line="430" w:lineRule="exact"/>
        <w:ind w:firstLine="480" w:firstLineChars="200"/>
        <w:rPr>
          <w:rFonts w:ascii="宋体" w:hAnsi="宋体"/>
          <w:sz w:val="24"/>
          <w:szCs w:val="24"/>
        </w:rPr>
      </w:pPr>
      <w:r>
        <w:rPr>
          <w:rFonts w:hint="eastAsia" w:ascii="宋体" w:hAnsi="宋体"/>
          <w:sz w:val="24"/>
          <w:szCs w:val="24"/>
        </w:rPr>
        <w:t>（1）《中华人民共和国政府采购法实施条例》</w:t>
      </w:r>
    </w:p>
    <w:p>
      <w:pPr>
        <w:spacing w:line="430" w:lineRule="exact"/>
        <w:ind w:firstLine="480" w:firstLineChars="200"/>
        <w:rPr>
          <w:rFonts w:ascii="宋体" w:hAnsi="宋体"/>
          <w:sz w:val="24"/>
          <w:szCs w:val="24"/>
        </w:rPr>
      </w:pPr>
      <w:r>
        <w:rPr>
          <w:rFonts w:hint="eastAsia" w:ascii="宋体" w:hAnsi="宋体"/>
          <w:sz w:val="24"/>
          <w:szCs w:val="24"/>
        </w:rPr>
        <w:t>第七十二条 供应商有下列情形之一的，依照政府采购法第七十七条第一款的规定追究法律责任：……</w:t>
      </w:r>
    </w:p>
    <w:p>
      <w:pPr>
        <w:spacing w:line="430" w:lineRule="exact"/>
        <w:ind w:firstLine="480" w:firstLineChars="200"/>
        <w:rPr>
          <w:rFonts w:ascii="宋体" w:hAnsi="宋体"/>
          <w:sz w:val="24"/>
          <w:szCs w:val="24"/>
        </w:rPr>
      </w:pPr>
      <w:r>
        <w:rPr>
          <w:rFonts w:hint="eastAsia" w:ascii="宋体" w:hAnsi="宋体"/>
          <w:sz w:val="24"/>
          <w:szCs w:val="24"/>
        </w:rPr>
        <w:t>（二）中标或者成交后无正当理由拒不与采购人签订政府采购合同；……</w:t>
      </w:r>
    </w:p>
    <w:p>
      <w:pPr>
        <w:spacing w:line="430" w:lineRule="exact"/>
        <w:ind w:firstLine="480" w:firstLineChars="200"/>
        <w:rPr>
          <w:rFonts w:ascii="宋体" w:hAnsi="宋体"/>
          <w:sz w:val="24"/>
          <w:szCs w:val="24"/>
        </w:rPr>
      </w:pPr>
      <w:r>
        <w:rPr>
          <w:rFonts w:hint="eastAsia" w:ascii="宋体" w:hAnsi="宋体"/>
          <w:sz w:val="24"/>
          <w:szCs w:val="24"/>
        </w:rPr>
        <w:t>（2）《中华人民共和国政府采购法》</w:t>
      </w:r>
    </w:p>
    <w:p>
      <w:pPr>
        <w:spacing w:line="430" w:lineRule="exact"/>
        <w:ind w:firstLine="480" w:firstLineChars="200"/>
        <w:rPr>
          <w:rFonts w:ascii="宋体" w:hAnsi="宋体"/>
          <w:sz w:val="24"/>
          <w:szCs w:val="24"/>
        </w:rPr>
      </w:pPr>
      <w:r>
        <w:rPr>
          <w:rFonts w:hint="eastAsia" w:ascii="宋体" w:hAnsi="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430" w:lineRule="exact"/>
        <w:ind w:firstLine="480" w:firstLineChars="200"/>
        <w:rPr>
          <w:rFonts w:ascii="宋体" w:hAnsi="宋体"/>
          <w:sz w:val="24"/>
          <w:szCs w:val="24"/>
        </w:rPr>
      </w:pPr>
      <w:r>
        <w:rPr>
          <w:rFonts w:hint="eastAsia" w:ascii="宋体" w:hAnsi="宋体"/>
          <w:sz w:val="24"/>
          <w:szCs w:val="24"/>
        </w:rPr>
        <w:t>（3）《政府采购非招标采购方式管理办法》（财政部令第 74 号）</w:t>
      </w:r>
    </w:p>
    <w:p>
      <w:pPr>
        <w:spacing w:line="430" w:lineRule="exact"/>
        <w:ind w:firstLine="480" w:firstLineChars="200"/>
        <w:rPr>
          <w:rFonts w:ascii="宋体" w:hAnsi="宋体"/>
          <w:sz w:val="24"/>
          <w:szCs w:val="24"/>
        </w:rPr>
      </w:pPr>
      <w:r>
        <w:rPr>
          <w:rFonts w:hint="eastAsia" w:ascii="宋体" w:hAnsi="宋体"/>
          <w:sz w:val="24"/>
          <w:szCs w:val="24"/>
        </w:rPr>
        <w:t>第二十条 ……</w:t>
      </w:r>
    </w:p>
    <w:p>
      <w:pPr>
        <w:spacing w:line="430" w:lineRule="exact"/>
        <w:ind w:firstLine="480" w:firstLineChars="200"/>
        <w:rPr>
          <w:rFonts w:ascii="宋体" w:hAnsi="宋体"/>
          <w:sz w:val="24"/>
          <w:szCs w:val="24"/>
        </w:rPr>
      </w:pPr>
      <w:r>
        <w:rPr>
          <w:rFonts w:hint="eastAsia" w:ascii="宋体" w:hAnsi="宋体"/>
          <w:sz w:val="24"/>
          <w:szCs w:val="24"/>
        </w:rPr>
        <w:t>有下列情形之一的，保证金不予退还：……</w:t>
      </w:r>
    </w:p>
    <w:p>
      <w:pPr>
        <w:spacing w:line="430" w:lineRule="exact"/>
        <w:ind w:firstLine="480" w:firstLineChars="200"/>
        <w:rPr>
          <w:rFonts w:ascii="宋体" w:hAnsi="宋体"/>
          <w:sz w:val="24"/>
          <w:szCs w:val="24"/>
        </w:rPr>
      </w:pPr>
      <w:r>
        <w:rPr>
          <w:rFonts w:hint="eastAsia" w:ascii="宋体" w:hAnsi="宋体"/>
          <w:sz w:val="24"/>
          <w:szCs w:val="24"/>
        </w:rPr>
        <w:t>（三）除因不可抗力或谈判文件、询价通知书认可的情形以外，成交供应商不与采购人签订合同的；……</w:t>
      </w:r>
    </w:p>
    <w:p>
      <w:pPr>
        <w:spacing w:line="430" w:lineRule="exact"/>
        <w:ind w:firstLine="480" w:firstLineChars="200"/>
        <w:rPr>
          <w:rFonts w:ascii="宋体" w:hAnsi="宋体"/>
          <w:sz w:val="24"/>
          <w:szCs w:val="24"/>
        </w:rPr>
      </w:pPr>
      <w:r>
        <w:rPr>
          <w:rFonts w:hint="eastAsia" w:ascii="宋体" w:hAnsi="宋体"/>
          <w:sz w:val="24"/>
          <w:szCs w:val="24"/>
        </w:rPr>
        <w:t>（4）第五十四条 成交供应商有下列情形之一的，责令限期整改，情节严重的，列入不良行为记录名单，在 1 至 3 年内禁止参加政府采购活动，并予以通报：……</w:t>
      </w:r>
    </w:p>
    <w:p>
      <w:pPr>
        <w:spacing w:line="430" w:lineRule="exact"/>
        <w:ind w:firstLine="480" w:firstLineChars="200"/>
        <w:rPr>
          <w:rFonts w:ascii="宋体" w:hAnsi="宋体"/>
          <w:sz w:val="24"/>
          <w:szCs w:val="24"/>
        </w:rPr>
      </w:pPr>
      <w:r>
        <w:rPr>
          <w:rFonts w:hint="eastAsia" w:ascii="宋体" w:hAnsi="宋体"/>
          <w:sz w:val="24"/>
          <w:szCs w:val="24"/>
        </w:rPr>
        <w:t>（二）成交后无正当理由不与采购人签订合同的；……</w:t>
      </w:r>
    </w:p>
    <w:p>
      <w:pPr>
        <w:pStyle w:val="4"/>
        <w:spacing w:before="0" w:after="0" w:line="430" w:lineRule="exact"/>
        <w:jc w:val="center"/>
        <w:rPr>
          <w:rFonts w:ascii="宋体" w:hAnsi="宋体" w:eastAsia="宋体" w:cs="宋体"/>
          <w:sz w:val="24"/>
          <w:szCs w:val="24"/>
        </w:rPr>
      </w:pPr>
      <w:bookmarkStart w:id="69" w:name="_Toc30371"/>
      <w:r>
        <w:rPr>
          <w:rFonts w:hint="eastAsia" w:ascii="宋体" w:hAnsi="宋体" w:eastAsia="宋体" w:cs="宋体"/>
          <w:sz w:val="24"/>
          <w:szCs w:val="24"/>
        </w:rPr>
        <w:t>（九）澄清及变更</w:t>
      </w:r>
      <w:bookmarkEnd w:id="69"/>
    </w:p>
    <w:p>
      <w:pPr>
        <w:spacing w:line="430" w:lineRule="exact"/>
        <w:ind w:firstLine="480" w:firstLineChars="200"/>
      </w:pPr>
      <w:r>
        <w:rPr>
          <w:rFonts w:hint="eastAsia" w:ascii="宋体" w:hAnsi="宋体"/>
          <w:sz w:val="24"/>
          <w:szCs w:val="24"/>
        </w:rPr>
        <w:t>谈判文件如有澄清及变更，将以网上公告形式发布，请供应商及时关注。</w:t>
      </w:r>
    </w:p>
    <w:p>
      <w:pPr>
        <w:pStyle w:val="4"/>
        <w:spacing w:before="0" w:after="0" w:line="430" w:lineRule="exact"/>
        <w:jc w:val="center"/>
        <w:rPr>
          <w:rFonts w:ascii="宋体" w:hAnsi="宋体" w:eastAsia="宋体" w:cs="宋体"/>
          <w:sz w:val="24"/>
          <w:szCs w:val="24"/>
        </w:rPr>
      </w:pPr>
      <w:bookmarkStart w:id="70" w:name="_Toc14936"/>
      <w:r>
        <w:rPr>
          <w:rFonts w:hint="eastAsia" w:ascii="宋体" w:hAnsi="宋体" w:eastAsia="宋体" w:cs="宋体"/>
          <w:sz w:val="24"/>
          <w:szCs w:val="24"/>
        </w:rPr>
        <w:t>（十）验收</w:t>
      </w:r>
      <w:bookmarkEnd w:id="70"/>
      <w:r>
        <w:rPr>
          <w:rFonts w:hint="eastAsia" w:ascii="宋体" w:hAnsi="宋体" w:eastAsia="宋体" w:cs="宋体"/>
          <w:sz w:val="24"/>
          <w:szCs w:val="24"/>
        </w:rPr>
        <w:t>与支付</w:t>
      </w:r>
    </w:p>
    <w:p>
      <w:pPr>
        <w:spacing w:line="430" w:lineRule="exact"/>
        <w:ind w:firstLine="480" w:firstLineChars="200"/>
        <w:rPr>
          <w:rFonts w:ascii="宋体" w:hAnsi="宋体"/>
          <w:sz w:val="24"/>
          <w:szCs w:val="24"/>
        </w:rPr>
      </w:pPr>
      <w:bookmarkStart w:id="71" w:name="_Toc24748"/>
      <w:r>
        <w:rPr>
          <w:rFonts w:hint="eastAsia" w:ascii="宋体" w:hAnsi="宋体"/>
          <w:sz w:val="24"/>
          <w:szCs w:val="24"/>
        </w:rPr>
        <w:t>1、采购人应当在项目完成且收到供应商验收申请后 5 个工作日内组织开展履约验收。</w:t>
      </w:r>
    </w:p>
    <w:p>
      <w:pPr>
        <w:spacing w:line="43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43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（十一）质疑</w:t>
      </w:r>
      <w:bookmarkEnd w:id="71"/>
    </w:p>
    <w:p>
      <w:pPr>
        <w:spacing w:line="430" w:lineRule="exact"/>
        <w:ind w:firstLine="480" w:firstLineChars="200"/>
        <w:rPr>
          <w:rFonts w:ascii="宋体" w:hAnsi="宋体"/>
          <w:bCs/>
          <w:sz w:val="24"/>
        </w:rPr>
      </w:pPr>
      <w:bookmarkStart w:id="72" w:name="_Toc216158630"/>
      <w:r>
        <w:rPr>
          <w:rFonts w:hint="eastAsia" w:ascii="宋体" w:hAnsi="宋体"/>
          <w:bCs/>
          <w:sz w:val="24"/>
        </w:rPr>
        <w:t>1、质疑人认为成交结果使自己的权益受到损害的，可以向采购人及采购代理机构提出质疑。质疑实行实名制，应当有具体的事项及根据，不得进行虚假、恶意质疑，扰乱公共资源交易活动的正常工作秩序。</w:t>
      </w:r>
    </w:p>
    <w:p>
      <w:pPr>
        <w:spacing w:line="43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430" w:lineRule="exact"/>
        <w:ind w:firstLine="480" w:firstLineChars="200"/>
        <w:rPr>
          <w:rFonts w:ascii="宋体" w:hAnsi="宋体"/>
          <w:bCs/>
          <w:sz w:val="24"/>
        </w:rPr>
      </w:pPr>
      <w:r>
        <w:rPr>
          <w:rFonts w:hint="eastAsia" w:ascii="宋体" w:hAnsi="宋体"/>
          <w:bCs/>
          <w:sz w:val="24"/>
        </w:rPr>
        <w:t>对政府采购成交结果的质疑，应在成交结果公布之日起七个工作日内提出。</w:t>
      </w:r>
    </w:p>
    <w:p>
      <w:pPr>
        <w:spacing w:line="43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spacing w:line="430" w:lineRule="exact"/>
        <w:ind w:firstLine="480" w:firstLineChars="200"/>
        <w:rPr>
          <w:rFonts w:ascii="宋体" w:hAnsi="宋体"/>
          <w:bCs/>
          <w:sz w:val="24"/>
        </w:rPr>
      </w:pPr>
      <w:r>
        <w:rPr>
          <w:rFonts w:hint="eastAsia" w:ascii="宋体" w:hAnsi="宋体"/>
          <w:bCs/>
          <w:sz w:val="24"/>
        </w:rPr>
        <w:t>3.1质疑人的名称、地址、有效联系方式；</w:t>
      </w:r>
    </w:p>
    <w:p>
      <w:pPr>
        <w:spacing w:line="430" w:lineRule="exact"/>
        <w:ind w:firstLine="480" w:firstLineChars="200"/>
        <w:rPr>
          <w:rFonts w:ascii="宋体" w:hAnsi="宋体"/>
          <w:bCs/>
          <w:sz w:val="24"/>
        </w:rPr>
      </w:pPr>
      <w:r>
        <w:rPr>
          <w:rFonts w:hint="eastAsia" w:ascii="宋体" w:hAnsi="宋体"/>
          <w:bCs/>
          <w:sz w:val="24"/>
        </w:rPr>
        <w:t>3.2项目名称、项目编号、包别号（如有）；</w:t>
      </w:r>
    </w:p>
    <w:p>
      <w:pPr>
        <w:spacing w:line="430" w:lineRule="exact"/>
        <w:ind w:firstLine="480" w:firstLineChars="200"/>
        <w:rPr>
          <w:rFonts w:ascii="宋体" w:hAnsi="宋体"/>
          <w:bCs/>
          <w:sz w:val="24"/>
        </w:rPr>
      </w:pPr>
      <w:r>
        <w:rPr>
          <w:rFonts w:hint="eastAsia" w:ascii="宋体" w:hAnsi="宋体"/>
          <w:bCs/>
          <w:sz w:val="24"/>
        </w:rPr>
        <w:t>3.3被质疑人名称；</w:t>
      </w:r>
    </w:p>
    <w:p>
      <w:pPr>
        <w:spacing w:line="430" w:lineRule="exact"/>
        <w:ind w:firstLine="480" w:firstLineChars="200"/>
        <w:rPr>
          <w:rFonts w:ascii="宋体" w:hAnsi="宋体"/>
          <w:bCs/>
          <w:sz w:val="24"/>
        </w:rPr>
      </w:pPr>
      <w:r>
        <w:rPr>
          <w:rFonts w:hint="eastAsia" w:ascii="宋体" w:hAnsi="宋体"/>
          <w:bCs/>
          <w:sz w:val="24"/>
        </w:rPr>
        <w:t>3.4具体的质疑事项、基本事实及必要的证明材料；</w:t>
      </w:r>
    </w:p>
    <w:p>
      <w:pPr>
        <w:spacing w:line="430" w:lineRule="exact"/>
        <w:ind w:firstLine="480" w:firstLineChars="200"/>
        <w:rPr>
          <w:rFonts w:ascii="宋体" w:hAnsi="宋体"/>
          <w:bCs/>
          <w:sz w:val="24"/>
        </w:rPr>
      </w:pPr>
      <w:r>
        <w:rPr>
          <w:rFonts w:hint="eastAsia" w:ascii="宋体" w:hAnsi="宋体"/>
          <w:bCs/>
          <w:sz w:val="24"/>
        </w:rPr>
        <w:t>3.5明确的请求及主张；</w:t>
      </w:r>
    </w:p>
    <w:p>
      <w:pPr>
        <w:spacing w:line="430" w:lineRule="exact"/>
        <w:ind w:firstLine="480" w:firstLineChars="200"/>
        <w:rPr>
          <w:rFonts w:ascii="宋体" w:hAnsi="宋体"/>
          <w:bCs/>
          <w:sz w:val="24"/>
        </w:rPr>
      </w:pPr>
      <w:r>
        <w:rPr>
          <w:rFonts w:hint="eastAsia" w:ascii="宋体" w:hAnsi="宋体"/>
          <w:bCs/>
          <w:sz w:val="24"/>
        </w:rPr>
        <w:t>3.6提起质疑的日期。</w:t>
      </w:r>
    </w:p>
    <w:p>
      <w:pPr>
        <w:spacing w:line="430" w:lineRule="exact"/>
        <w:ind w:firstLine="480" w:firstLineChars="200"/>
        <w:rPr>
          <w:rFonts w:ascii="宋体" w:hAnsi="宋体" w:cs="宋体"/>
          <w:sz w:val="24"/>
          <w:szCs w:val="24"/>
        </w:rPr>
      </w:pPr>
      <w:r>
        <w:rPr>
          <w:rFonts w:hint="eastAsia" w:ascii="宋体" w:hAnsi="宋体" w:cs="宋体"/>
          <w:sz w:val="24"/>
          <w:szCs w:val="24"/>
        </w:rPr>
        <w:t>质疑人为法人或者其他组织的，应当由法定代表人或其委托代理人（需有委托授权书）签字并加盖公章。</w:t>
      </w:r>
    </w:p>
    <w:p>
      <w:pPr>
        <w:spacing w:line="430" w:lineRule="exact"/>
        <w:ind w:firstLine="480" w:firstLineChars="200"/>
        <w:rPr>
          <w:rFonts w:ascii="宋体" w:hAnsi="宋体" w:cs="宋体"/>
          <w:sz w:val="24"/>
          <w:szCs w:val="24"/>
        </w:rPr>
      </w:pPr>
      <w:r>
        <w:rPr>
          <w:rFonts w:hint="eastAsia" w:ascii="宋体" w:hAnsi="宋体" w:cs="宋体"/>
          <w:sz w:val="24"/>
          <w:szCs w:val="24"/>
        </w:rPr>
        <w:t>质疑人需要修改、补充质疑材料的，应当在质疑期内提交修改或补充材料。</w:t>
      </w:r>
    </w:p>
    <w:p>
      <w:pPr>
        <w:spacing w:line="43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spacing w:line="430" w:lineRule="exact"/>
        <w:ind w:firstLine="480" w:firstLineChars="200"/>
        <w:rPr>
          <w:rFonts w:ascii="宋体" w:hAnsi="宋体" w:cs="宋体"/>
          <w:sz w:val="24"/>
          <w:szCs w:val="24"/>
        </w:rPr>
      </w:pPr>
      <w:r>
        <w:rPr>
          <w:rFonts w:hint="eastAsia" w:ascii="宋体" w:hAnsi="宋体" w:cs="宋体"/>
          <w:sz w:val="24"/>
          <w:szCs w:val="24"/>
        </w:rPr>
        <w:t>4.1提起质疑的主体不是参与该政府采购项目活动的供应商；</w:t>
      </w:r>
    </w:p>
    <w:p>
      <w:pPr>
        <w:spacing w:line="430" w:lineRule="exact"/>
        <w:ind w:firstLine="480" w:firstLineChars="200"/>
        <w:rPr>
          <w:rFonts w:ascii="宋体" w:hAnsi="宋体" w:cs="宋体"/>
          <w:sz w:val="24"/>
          <w:szCs w:val="24"/>
        </w:rPr>
      </w:pPr>
      <w:r>
        <w:rPr>
          <w:rFonts w:hint="eastAsia" w:ascii="宋体" w:hAnsi="宋体" w:cs="宋体"/>
          <w:sz w:val="24"/>
          <w:szCs w:val="24"/>
        </w:rPr>
        <w:t>4.2提起质疑的时间超过规定时限的；</w:t>
      </w:r>
    </w:p>
    <w:p>
      <w:pPr>
        <w:spacing w:line="430" w:lineRule="exact"/>
        <w:ind w:firstLine="480" w:firstLineChars="200"/>
        <w:rPr>
          <w:rFonts w:ascii="宋体" w:hAnsi="宋体" w:cs="宋体"/>
          <w:sz w:val="24"/>
          <w:szCs w:val="24"/>
        </w:rPr>
      </w:pPr>
      <w:r>
        <w:rPr>
          <w:rFonts w:hint="eastAsia" w:ascii="宋体" w:hAnsi="宋体" w:cs="宋体"/>
          <w:sz w:val="24"/>
          <w:szCs w:val="24"/>
        </w:rPr>
        <w:t>4.3质疑材料不完整的；</w:t>
      </w:r>
    </w:p>
    <w:p>
      <w:pPr>
        <w:spacing w:line="430" w:lineRule="exact"/>
        <w:ind w:firstLine="480" w:firstLineChars="200"/>
        <w:rPr>
          <w:rFonts w:ascii="宋体" w:hAnsi="宋体" w:cs="宋体"/>
          <w:sz w:val="24"/>
          <w:szCs w:val="24"/>
        </w:rPr>
      </w:pPr>
      <w:r>
        <w:rPr>
          <w:rFonts w:hint="eastAsia" w:ascii="宋体" w:hAnsi="宋体" w:cs="宋体"/>
          <w:sz w:val="24"/>
          <w:szCs w:val="24"/>
        </w:rPr>
        <w:t>4.4质疑事项含有主观猜测等内容且未提供有效线索、难以查证的；</w:t>
      </w:r>
    </w:p>
    <w:p>
      <w:pPr>
        <w:spacing w:line="430" w:lineRule="exact"/>
        <w:ind w:firstLine="480" w:firstLineChars="200"/>
        <w:rPr>
          <w:rFonts w:ascii="宋体" w:hAnsi="宋体" w:cs="宋体"/>
          <w:sz w:val="24"/>
          <w:szCs w:val="24"/>
        </w:rPr>
      </w:pPr>
      <w:r>
        <w:rPr>
          <w:rFonts w:hint="eastAsia" w:ascii="宋体" w:hAnsi="宋体" w:cs="宋体"/>
          <w:sz w:val="24"/>
          <w:szCs w:val="24"/>
        </w:rPr>
        <w:t>4.5对其他谈判供应商的响应文件详细内容质疑，无法提供合法来源渠道的；</w:t>
      </w:r>
    </w:p>
    <w:p>
      <w:pPr>
        <w:spacing w:line="430" w:lineRule="exact"/>
        <w:ind w:firstLine="480" w:firstLineChars="200"/>
        <w:rPr>
          <w:rFonts w:ascii="仿宋_GB2312" w:hAnsi="宋体" w:eastAsia="仿宋_GB2312" w:cs="宋体"/>
          <w:sz w:val="24"/>
          <w:szCs w:val="24"/>
        </w:rPr>
      </w:pPr>
      <w:r>
        <w:rPr>
          <w:rFonts w:hint="eastAsia" w:ascii="宋体" w:hAnsi="宋体" w:cs="宋体"/>
          <w:sz w:val="24"/>
          <w:szCs w:val="24"/>
        </w:rPr>
        <w:t>4.6质疑事项已进入投诉处理、行政复议或行政诉讼程序的。</w:t>
      </w:r>
    </w:p>
    <w:p>
      <w:pPr>
        <w:spacing w:line="43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43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43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val="en-US" w:eastAsia="zh-CN"/>
        </w:rPr>
        <w:t>监管部门</w:t>
      </w:r>
      <w:r>
        <w:rPr>
          <w:rFonts w:hint="eastAsia" w:ascii="宋体" w:hAnsi="宋体"/>
          <w:bCs/>
          <w:sz w:val="24"/>
        </w:rPr>
        <w:t>提起投诉。</w:t>
      </w:r>
    </w:p>
    <w:p>
      <w:pPr>
        <w:spacing w:line="430" w:lineRule="exact"/>
        <w:ind w:firstLine="480" w:firstLineChars="200"/>
        <w:rPr>
          <w:rFonts w:ascii="宋体" w:hAnsi="宋体"/>
          <w:bCs/>
          <w:sz w:val="24"/>
        </w:rPr>
      </w:pPr>
      <w:r>
        <w:rPr>
          <w:rFonts w:hint="eastAsia" w:ascii="宋体" w:hAnsi="宋体"/>
          <w:bCs/>
          <w:sz w:val="24"/>
        </w:rPr>
        <w:t>质疑人应在答复期满后十五个工作日内提起投诉，投诉办法详见《政府采购质疑和投诉办法》（财政部94号令）。</w:t>
      </w:r>
    </w:p>
    <w:p>
      <w:pPr>
        <w:spacing w:line="430" w:lineRule="exact"/>
        <w:ind w:firstLine="480" w:firstLineChars="200"/>
        <w:rPr>
          <w:rFonts w:ascii="宋体" w:hAnsi="宋体"/>
          <w:bCs/>
          <w:sz w:val="24"/>
        </w:rPr>
      </w:pPr>
      <w:r>
        <w:rPr>
          <w:rFonts w:hint="eastAsia" w:ascii="宋体" w:hAnsi="宋体"/>
          <w:bCs/>
          <w:sz w:val="24"/>
        </w:rPr>
        <w:t>7、质疑人有下列情形之一的，属于虚假、恶意质疑，将报</w:t>
      </w:r>
      <w:r>
        <w:rPr>
          <w:rFonts w:hint="eastAsia" w:ascii="宋体" w:hAnsi="宋体"/>
          <w:bCs/>
          <w:sz w:val="24"/>
          <w:lang w:val="en-US" w:eastAsia="zh-CN"/>
        </w:rPr>
        <w:t>监管部门</w:t>
      </w:r>
      <w:r>
        <w:rPr>
          <w:rFonts w:hint="eastAsia" w:ascii="宋体" w:hAnsi="宋体"/>
          <w:bCs/>
          <w:sz w:val="24"/>
        </w:rPr>
        <w:t>予以处理。</w:t>
      </w:r>
    </w:p>
    <w:p>
      <w:pPr>
        <w:spacing w:line="430" w:lineRule="exact"/>
        <w:ind w:firstLine="480" w:firstLineChars="200"/>
        <w:rPr>
          <w:rFonts w:ascii="宋体" w:hAnsi="宋体"/>
          <w:bCs/>
          <w:sz w:val="24"/>
        </w:rPr>
      </w:pPr>
      <w:r>
        <w:rPr>
          <w:rFonts w:hint="eastAsia" w:ascii="宋体" w:hAnsi="宋体"/>
          <w:bCs/>
          <w:sz w:val="24"/>
        </w:rPr>
        <w:t>7.1一年内三次以上质疑均查无实据的；</w:t>
      </w:r>
    </w:p>
    <w:p>
      <w:pPr>
        <w:spacing w:line="430" w:lineRule="exact"/>
        <w:ind w:firstLine="480" w:firstLineChars="200"/>
        <w:rPr>
          <w:rFonts w:ascii="宋体" w:hAnsi="宋体"/>
          <w:sz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pPr>
        <w:pStyle w:val="4"/>
        <w:spacing w:before="0" w:after="0" w:line="560" w:lineRule="exact"/>
        <w:jc w:val="center"/>
        <w:rPr>
          <w:rFonts w:ascii="宋体" w:hAnsi="宋体" w:eastAsia="宋体" w:cs="宋体"/>
          <w:sz w:val="28"/>
          <w:szCs w:val="28"/>
        </w:rPr>
      </w:pPr>
      <w:bookmarkStart w:id="73" w:name="_Toc5573"/>
      <w:r>
        <w:rPr>
          <w:rFonts w:hint="eastAsia" w:ascii="宋体" w:hAnsi="宋体" w:eastAsia="宋体" w:cs="宋体"/>
          <w:sz w:val="28"/>
          <w:szCs w:val="28"/>
        </w:rPr>
        <w:t>二、采购合同</w:t>
      </w:r>
      <w:bookmarkEnd w:id="73"/>
    </w:p>
    <w:bookmarkEnd w:id="72"/>
    <w:p>
      <w:pPr>
        <w:pStyle w:val="2"/>
        <w:jc w:val="center"/>
        <w:rPr>
          <w:rFonts w:hint="eastAsia" w:eastAsia="宋体"/>
          <w:lang w:eastAsia="zh-CN"/>
        </w:rPr>
      </w:pPr>
      <w:bookmarkStart w:id="74" w:name="_Toc18672"/>
      <w:bookmarkStart w:id="75" w:name="_Toc363199273"/>
      <w:r>
        <w:rPr>
          <w:rFonts w:hint="eastAsia"/>
          <w:lang w:eastAsia="zh-CN"/>
        </w:rPr>
        <w:t>（</w:t>
      </w:r>
      <w:r>
        <w:rPr>
          <w:rFonts w:hint="eastAsia"/>
          <w:lang w:val="en-US" w:eastAsia="zh-CN"/>
        </w:rPr>
        <w:t>双方自行拟定，但不得违背谈判文件实质性内容</w:t>
      </w:r>
      <w:r>
        <w:rPr>
          <w:rFonts w:hint="eastAsia"/>
          <w:lang w:eastAsia="zh-CN"/>
        </w:rPr>
        <w:t>）</w:t>
      </w:r>
    </w:p>
    <w:p>
      <w:pPr>
        <w:pStyle w:val="4"/>
        <w:numPr>
          <w:ilvl w:val="0"/>
          <w:numId w:val="3"/>
        </w:numPr>
        <w:spacing w:before="0" w:after="0" w:line="560" w:lineRule="exact"/>
        <w:jc w:val="center"/>
        <w:rPr>
          <w:rFonts w:ascii="宋体" w:hAnsi="宋体" w:eastAsia="宋体" w:cs="宋体"/>
          <w:sz w:val="28"/>
          <w:szCs w:val="28"/>
        </w:rPr>
      </w:pPr>
      <w:r>
        <w:rPr>
          <w:rFonts w:hint="eastAsia" w:ascii="宋体" w:hAnsi="宋体" w:eastAsia="宋体" w:cs="宋体"/>
          <w:sz w:val="28"/>
          <w:szCs w:val="28"/>
        </w:rPr>
        <w:t>采购需求</w:t>
      </w:r>
      <w:bookmarkEnd w:id="74"/>
    </w:p>
    <w:p>
      <w:pPr>
        <w:pStyle w:val="11"/>
        <w:spacing w:after="0" w:line="520" w:lineRule="exact"/>
        <w:jc w:val="center"/>
        <w:rPr>
          <w:rFonts w:hint="default" w:eastAsia="宋体"/>
          <w:sz w:val="28"/>
          <w:szCs w:val="28"/>
          <w:lang w:val="en-US" w:eastAsia="zh-CN"/>
        </w:rPr>
      </w:pPr>
      <w:r>
        <w:rPr>
          <w:rFonts w:hint="eastAsia" w:ascii="宋体" w:hAnsi="宋体"/>
          <w:sz w:val="24"/>
          <w:szCs w:val="24"/>
          <w:lang w:val="en-US" w:eastAsia="zh-CN"/>
        </w:rPr>
        <w:t>详见工程量清单（附件）</w:t>
      </w:r>
    </w:p>
    <w:p>
      <w:pPr>
        <w:rPr>
          <w:rFonts w:ascii="宋体" w:hAnsi="宋体" w:cs="宋体"/>
          <w:sz w:val="28"/>
          <w:szCs w:val="28"/>
        </w:rPr>
      </w:pPr>
      <w:r>
        <w:rPr>
          <w:rFonts w:hint="eastAsia" w:ascii="宋体" w:hAnsi="宋体" w:cs="宋体"/>
          <w:sz w:val="28"/>
          <w:szCs w:val="28"/>
        </w:rPr>
        <w:br w:type="page"/>
      </w:r>
    </w:p>
    <w:p>
      <w:pPr>
        <w:pStyle w:val="4"/>
        <w:spacing w:before="0" w:after="0" w:line="560" w:lineRule="exact"/>
        <w:jc w:val="center"/>
        <w:rPr>
          <w:rFonts w:ascii="宋体" w:hAnsi="宋体" w:eastAsia="宋体" w:cs="宋体"/>
          <w:sz w:val="28"/>
          <w:szCs w:val="28"/>
        </w:rPr>
      </w:pPr>
      <w:bookmarkStart w:id="76" w:name="_Toc12600"/>
      <w:r>
        <w:rPr>
          <w:rFonts w:hint="eastAsia" w:ascii="宋体" w:hAnsi="宋体" w:eastAsia="宋体" w:cs="宋体"/>
          <w:sz w:val="28"/>
          <w:szCs w:val="28"/>
        </w:rPr>
        <w:t>四、响应文件格式</w:t>
      </w:r>
      <w:bookmarkEnd w:id="76"/>
    </w:p>
    <w:p>
      <w:pPr>
        <w:spacing w:line="500" w:lineRule="exact"/>
        <w:jc w:val="center"/>
        <w:rPr>
          <w:rFonts w:ascii="宋体" w:hAnsi="宋体"/>
          <w:b/>
          <w:sz w:val="32"/>
        </w:rPr>
      </w:pPr>
    </w:p>
    <w:p>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pPr>
        <w:spacing w:line="900" w:lineRule="exact"/>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pPr>
        <w:spacing w:after="156" w:afterLines="50" w:line="500" w:lineRule="exact"/>
        <w:jc w:val="center"/>
        <w:rPr>
          <w:rFonts w:ascii="宋体" w:hAnsi="宋体"/>
          <w:b/>
          <w:sz w:val="72"/>
        </w:rPr>
      </w:pPr>
    </w:p>
    <w:p>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pPr>
        <w:spacing w:after="156" w:afterLines="50" w:line="500" w:lineRule="exact"/>
        <w:ind w:firstLine="3373" w:firstLineChars="1050"/>
        <w:rPr>
          <w:rFonts w:ascii="宋体" w:hAnsi="宋体"/>
          <w:b/>
          <w:sz w:val="32"/>
        </w:rPr>
      </w:pPr>
      <w:r>
        <w:rPr>
          <w:rFonts w:hint="eastAsia" w:ascii="宋体" w:hAnsi="宋体"/>
          <w:b/>
          <w:sz w:val="32"/>
        </w:rPr>
        <w:t>年  月  日</w:t>
      </w:r>
    </w:p>
    <w:p>
      <w:pPr>
        <w:spacing w:after="156" w:afterLines="50" w:line="500" w:lineRule="exact"/>
        <w:jc w:val="center"/>
        <w:rPr>
          <w:rFonts w:ascii="宋体" w:hAnsi="宋体"/>
          <w:b/>
          <w:sz w:val="32"/>
        </w:rPr>
      </w:pPr>
    </w:p>
    <w:p>
      <w:pPr>
        <w:spacing w:line="360" w:lineRule="auto"/>
        <w:rPr>
          <w:rFonts w:ascii="宋体" w:hAnsi="宋体"/>
          <w:sz w:val="24"/>
          <w:szCs w:val="28"/>
        </w:rPr>
      </w:pPr>
    </w:p>
    <w:bookmarkEnd w:id="75"/>
    <w:p>
      <w:pPr>
        <w:pStyle w:val="4"/>
        <w:spacing w:before="0" w:after="0" w:line="560" w:lineRule="exact"/>
        <w:jc w:val="center"/>
        <w:rPr>
          <w:rFonts w:ascii="宋体" w:hAnsi="宋体" w:eastAsia="宋体" w:cs="宋体"/>
          <w:sz w:val="24"/>
          <w:szCs w:val="24"/>
        </w:rPr>
      </w:pPr>
      <w:bookmarkStart w:id="77" w:name="_Toc3949"/>
      <w:r>
        <w:rPr>
          <w:rFonts w:hint="eastAsia" w:ascii="宋体" w:hAnsi="宋体" w:eastAsia="宋体" w:cs="宋体"/>
          <w:sz w:val="24"/>
          <w:szCs w:val="24"/>
        </w:rPr>
        <w:t>响应文件资料清单</w:t>
      </w:r>
      <w:bookmarkEnd w:id="77"/>
    </w:p>
    <w:tbl>
      <w:tblPr>
        <w:tblStyle w:val="3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spacing w:line="400" w:lineRule="exact"/>
              <w:jc w:val="center"/>
              <w:rPr>
                <w:rFonts w:ascii="宋体" w:hAnsi="宋体"/>
                <w:b/>
                <w:sz w:val="24"/>
              </w:rPr>
            </w:pPr>
            <w:r>
              <w:rPr>
                <w:rFonts w:hint="eastAsia" w:ascii="宋体" w:hAnsi="宋体"/>
                <w:b/>
                <w:sz w:val="24"/>
              </w:rPr>
              <w:t>序号</w:t>
            </w:r>
          </w:p>
        </w:tc>
        <w:tc>
          <w:tcPr>
            <w:tcW w:w="6038" w:type="dxa"/>
            <w:vAlign w:val="center"/>
          </w:tcPr>
          <w:p>
            <w:pPr>
              <w:spacing w:line="400" w:lineRule="exact"/>
              <w:jc w:val="center"/>
              <w:rPr>
                <w:rFonts w:ascii="宋体" w:hAnsi="宋体"/>
                <w:b/>
                <w:sz w:val="24"/>
              </w:rPr>
            </w:pPr>
            <w:r>
              <w:rPr>
                <w:rFonts w:hint="eastAsia" w:ascii="宋体" w:hAnsi="宋体"/>
                <w:b/>
                <w:sz w:val="24"/>
              </w:rPr>
              <w:t>资料名称</w:t>
            </w:r>
          </w:p>
        </w:tc>
        <w:tc>
          <w:tcPr>
            <w:tcW w:w="1417"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一</w:t>
            </w:r>
          </w:p>
        </w:tc>
        <w:tc>
          <w:tcPr>
            <w:tcW w:w="6038" w:type="dxa"/>
            <w:vAlign w:val="center"/>
          </w:tcPr>
          <w:p>
            <w:pPr>
              <w:spacing w:line="360" w:lineRule="auto"/>
              <w:rPr>
                <w:rFonts w:ascii="Tahoma" w:hAnsi="Tahoma"/>
                <w:sz w:val="24"/>
              </w:rPr>
            </w:pPr>
            <w:r>
              <w:rPr>
                <w:rFonts w:hint="eastAsia" w:ascii="宋体" w:hAnsi="宋体"/>
                <w:sz w:val="24"/>
                <w:szCs w:val="24"/>
              </w:rPr>
              <w:t>报价单、已标价工程量清单</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二</w:t>
            </w:r>
          </w:p>
        </w:tc>
        <w:tc>
          <w:tcPr>
            <w:tcW w:w="6038" w:type="dxa"/>
            <w:vAlign w:val="center"/>
          </w:tcPr>
          <w:p>
            <w:pPr>
              <w:spacing w:line="360" w:lineRule="auto"/>
              <w:rPr>
                <w:rFonts w:ascii="Tahoma" w:hAnsi="Tahoma"/>
                <w:sz w:val="24"/>
              </w:rPr>
            </w:pPr>
            <w:r>
              <w:rPr>
                <w:rFonts w:hint="eastAsia" w:ascii="Tahoma" w:hAnsi="Tahoma"/>
                <w:sz w:val="24"/>
              </w:rPr>
              <w:t>供应商基本信息</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三</w:t>
            </w:r>
          </w:p>
        </w:tc>
        <w:tc>
          <w:tcPr>
            <w:tcW w:w="6038" w:type="dxa"/>
            <w:vAlign w:val="center"/>
          </w:tcPr>
          <w:p>
            <w:pPr>
              <w:pStyle w:val="73"/>
            </w:pPr>
            <w:r>
              <w:rPr>
                <w:rFonts w:hint="eastAsia" w:ascii="宋体" w:hAnsi="宋体"/>
                <w:szCs w:val="24"/>
              </w:rPr>
              <w:t>谈判授权书</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四</w:t>
            </w:r>
          </w:p>
        </w:tc>
        <w:tc>
          <w:tcPr>
            <w:tcW w:w="6038" w:type="dxa"/>
            <w:vAlign w:val="center"/>
          </w:tcPr>
          <w:p>
            <w:pPr>
              <w:pStyle w:val="73"/>
            </w:pPr>
            <w:r>
              <w:rPr>
                <w:rFonts w:hint="eastAsia" w:ascii="宋体" w:hAnsi="宋体"/>
                <w:szCs w:val="24"/>
              </w:rPr>
              <w:t>谈判响应函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五</w:t>
            </w:r>
          </w:p>
        </w:tc>
        <w:tc>
          <w:tcPr>
            <w:tcW w:w="6038" w:type="dxa"/>
            <w:vAlign w:val="center"/>
          </w:tcPr>
          <w:p>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pPr>
              <w:jc w:val="center"/>
              <w:rPr>
                <w:rFonts w:ascii="Tahoma" w:hAnsi="Tahoma"/>
                <w:sz w:val="24"/>
              </w:rPr>
            </w:pPr>
            <w:r>
              <w:rPr>
                <w:rFonts w:hint="eastAsia" w:ascii="Tahoma" w:hAnsi="Tahoma"/>
                <w:sz w:val="24"/>
              </w:rPr>
              <w:t>六</w:t>
            </w:r>
          </w:p>
        </w:tc>
        <w:tc>
          <w:tcPr>
            <w:tcW w:w="6038" w:type="dxa"/>
            <w:vAlign w:val="center"/>
          </w:tcPr>
          <w:p>
            <w:pPr>
              <w:rPr>
                <w:rFonts w:ascii="宋体" w:hAnsi="宋体" w:cs="宋体"/>
                <w:sz w:val="24"/>
              </w:rPr>
            </w:pPr>
            <w:r>
              <w:rPr>
                <w:rFonts w:hint="eastAsia" w:ascii="宋体" w:hAnsi="宋体" w:cs="宋体"/>
                <w:sz w:val="24"/>
                <w:szCs w:val="24"/>
              </w:rPr>
              <w:t>响应情况表</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pPr>
              <w:jc w:val="center"/>
              <w:rPr>
                <w:rFonts w:ascii="Tahoma" w:hAnsi="Tahoma"/>
                <w:sz w:val="24"/>
              </w:rPr>
            </w:pPr>
            <w:r>
              <w:rPr>
                <w:rFonts w:hint="eastAsia" w:ascii="Tahoma" w:hAnsi="Tahoma"/>
                <w:sz w:val="24"/>
              </w:rPr>
              <w:t>七</w:t>
            </w:r>
          </w:p>
        </w:tc>
        <w:tc>
          <w:tcPr>
            <w:tcW w:w="6038" w:type="dxa"/>
            <w:vAlign w:val="center"/>
          </w:tcPr>
          <w:p>
            <w:pPr>
              <w:rPr>
                <w:rFonts w:ascii="宋体" w:hAnsi="宋体" w:cs="宋体"/>
                <w:sz w:val="24"/>
              </w:rPr>
            </w:pPr>
            <w:r>
              <w:rPr>
                <w:rFonts w:hint="eastAsia" w:ascii="宋体" w:hAnsi="宋体" w:cs="宋体"/>
                <w:sz w:val="24"/>
                <w:szCs w:val="24"/>
              </w:rPr>
              <w:t>承诺函</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r>
              <w:rPr>
                <w:rFonts w:hint="eastAsia" w:ascii="Tahoma" w:hAnsi="Tahoma"/>
                <w:sz w:val="24"/>
              </w:rPr>
              <w:t>八</w:t>
            </w:r>
          </w:p>
        </w:tc>
        <w:tc>
          <w:tcPr>
            <w:tcW w:w="6038" w:type="dxa"/>
            <w:vAlign w:val="center"/>
          </w:tcPr>
          <w:p>
            <w:pPr>
              <w:spacing w:line="480" w:lineRule="exact"/>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p>
        </w:tc>
        <w:tc>
          <w:tcPr>
            <w:tcW w:w="6038" w:type="dxa"/>
            <w:vAlign w:val="center"/>
          </w:tcPr>
          <w:p>
            <w:pPr>
              <w:rPr>
                <w:rFonts w:hint="eastAsia" w:ascii="宋体" w:hAnsi="宋体" w:eastAsia="宋体" w:cs="宋体"/>
                <w:sz w:val="24"/>
                <w:lang w:val="en-US" w:eastAsia="zh-CN"/>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rFonts w:ascii="Tahoma" w:hAnsi="Tahoma"/>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bl>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rPr>
          <w:rFonts w:ascii="宋体" w:hAnsi="宋体" w:cs="宋体"/>
          <w:sz w:val="24"/>
          <w:szCs w:val="24"/>
        </w:rPr>
      </w:pPr>
      <w:r>
        <w:rPr>
          <w:rFonts w:hint="eastAsia" w:ascii="宋体" w:hAnsi="宋体" w:cs="宋体"/>
          <w:sz w:val="24"/>
          <w:szCs w:val="24"/>
        </w:rPr>
        <w:br w:type="page"/>
      </w:r>
    </w:p>
    <w:p>
      <w:pPr>
        <w:pStyle w:val="4"/>
        <w:spacing w:before="0" w:after="0" w:line="560" w:lineRule="exact"/>
        <w:rPr>
          <w:rFonts w:ascii="宋体" w:hAnsi="宋体" w:eastAsia="宋体" w:cs="宋体"/>
          <w:sz w:val="24"/>
          <w:szCs w:val="24"/>
        </w:rPr>
      </w:pPr>
      <w:bookmarkStart w:id="78" w:name="_Toc970"/>
      <w:r>
        <w:rPr>
          <w:rFonts w:hint="eastAsia" w:ascii="宋体" w:hAnsi="宋体" w:eastAsia="宋体" w:cs="宋体"/>
          <w:sz w:val="24"/>
          <w:szCs w:val="24"/>
        </w:rPr>
        <w:t>附件一</w:t>
      </w:r>
      <w:bookmarkEnd w:id="78"/>
    </w:p>
    <w:p>
      <w:pPr>
        <w:pStyle w:val="4"/>
        <w:spacing w:before="0" w:after="0" w:line="560" w:lineRule="exact"/>
        <w:ind w:firstLine="482" w:firstLineChars="200"/>
        <w:jc w:val="center"/>
        <w:rPr>
          <w:rFonts w:ascii="宋体" w:hAnsi="宋体" w:eastAsia="宋体" w:cs="宋体"/>
          <w:sz w:val="24"/>
          <w:szCs w:val="24"/>
        </w:rPr>
      </w:pPr>
      <w:bookmarkStart w:id="79" w:name="_Toc5601"/>
      <w:bookmarkStart w:id="80" w:name="_Toc10816"/>
      <w:bookmarkStart w:id="81" w:name="_Toc6891"/>
      <w:r>
        <w:rPr>
          <w:rFonts w:hint="eastAsia" w:ascii="宋体" w:hAnsi="宋体" w:eastAsia="宋体" w:cs="宋体"/>
          <w:sz w:val="24"/>
          <w:szCs w:val="24"/>
        </w:rPr>
        <w:t>1、报价单</w:t>
      </w:r>
      <w:bookmarkEnd w:id="79"/>
      <w:bookmarkEnd w:id="80"/>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u w:val="single"/>
              </w:rPr>
            </w:pPr>
            <w:r>
              <w:rPr>
                <w:rFonts w:hint="eastAsia" w:ascii="宋体" w:hAnsi="宋体" w:cs="宋体"/>
                <w:bCs/>
                <w:sz w:val="24"/>
              </w:rPr>
              <w:t>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项目编号</w:t>
            </w:r>
          </w:p>
        </w:tc>
        <w:tc>
          <w:tcPr>
            <w:tcW w:w="6667" w:type="dxa"/>
            <w:tcBorders>
              <w:top w:val="nil"/>
            </w:tcBorders>
            <w:vAlign w:val="center"/>
          </w:tcPr>
          <w:p>
            <w:pPr>
              <w:jc w:val="center"/>
              <w:rPr>
                <w:rFonts w:ascii="宋体" w:hAnsi="宋体" w:cs="宋体"/>
                <w:bCs/>
                <w:sz w:val="24"/>
              </w:rPr>
            </w:pPr>
            <w:r>
              <w:rPr>
                <w:rFonts w:hint="eastAsia" w:ascii="宋体" w:hAnsi="宋体" w:cs="宋体"/>
                <w:bCs/>
                <w:sz w:val="24"/>
              </w:rPr>
              <w:t>某编号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响应供应商全称</w:t>
            </w:r>
          </w:p>
        </w:tc>
        <w:tc>
          <w:tcPr>
            <w:tcW w:w="6667" w:type="dxa"/>
            <w:tcBorders>
              <w:top w:val="nil"/>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响应范围</w:t>
            </w:r>
          </w:p>
        </w:tc>
        <w:tc>
          <w:tcPr>
            <w:tcW w:w="6667" w:type="dxa"/>
            <w:tcBorders>
              <w:top w:val="nil"/>
            </w:tcBorders>
            <w:vAlign w:val="center"/>
          </w:tcPr>
          <w:p>
            <w:pPr>
              <w:spacing w:line="360" w:lineRule="exact"/>
              <w:rPr>
                <w:rFonts w:ascii="宋体" w:hAnsi="宋体" w:cs="宋体"/>
                <w:bCs/>
                <w:sz w:val="24"/>
              </w:rPr>
            </w:pPr>
            <w:r>
              <w:rPr>
                <w:rFonts w:hint="eastAsia" w:ascii="宋体" w:hAnsi="宋体" w:cs="宋体"/>
                <w:bCs/>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响应报价</w:t>
            </w:r>
          </w:p>
        </w:tc>
        <w:tc>
          <w:tcPr>
            <w:tcW w:w="6667" w:type="dxa"/>
            <w:tcBorders>
              <w:top w:val="nil"/>
            </w:tcBorders>
            <w:vAlign w:val="center"/>
          </w:tcPr>
          <w:p>
            <w:pPr>
              <w:spacing w:line="560" w:lineRule="exact"/>
              <w:rPr>
                <w:rFonts w:ascii="Calibri" w:hAnsi="Calibri"/>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rPr>
              <w:t xml:space="preserve"> （精确到小数点后两位，可编辑） </w:t>
            </w:r>
          </w:p>
          <w:p>
            <w:pPr>
              <w:spacing w:line="360" w:lineRule="auto"/>
              <w:ind w:right="-67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ascii="宋体" w:hAnsi="宋体" w:cs="宋体"/>
                <w:b/>
                <w:sz w:val="24"/>
              </w:rPr>
            </w:pPr>
            <w:r>
              <w:rPr>
                <w:rFonts w:hint="eastAsia" w:ascii="宋体" w:hAnsi="宋体" w:cs="宋体"/>
                <w:b/>
                <w:sz w:val="24"/>
              </w:rPr>
              <w:t>备注</w:t>
            </w:r>
          </w:p>
        </w:tc>
        <w:tc>
          <w:tcPr>
            <w:tcW w:w="6667" w:type="dxa"/>
            <w:tcBorders>
              <w:top w:val="nil"/>
            </w:tcBorders>
            <w:vAlign w:val="center"/>
          </w:tcPr>
          <w:p>
            <w:pPr>
              <w:spacing w:line="360" w:lineRule="auto"/>
              <w:rPr>
                <w:rFonts w:ascii="宋体" w:hAnsi="宋体" w:cs="宋体"/>
                <w:bCs/>
                <w:sz w:val="24"/>
              </w:rPr>
            </w:pPr>
          </w:p>
        </w:tc>
      </w:tr>
    </w:tbl>
    <w:p>
      <w:pPr>
        <w:rPr>
          <w:rFonts w:ascii="宋体" w:hAnsi="宋体" w:cs="宋体"/>
          <w:sz w:val="24"/>
          <w:szCs w:val="24"/>
        </w:rPr>
      </w:pPr>
    </w:p>
    <w:p>
      <w:pPr>
        <w:pStyle w:val="18"/>
        <w:spacing w:line="360" w:lineRule="auto"/>
        <w:rPr>
          <w:rFonts w:ascii="宋体" w:hAnsi="宋体" w:eastAsia="宋体" w:cs="宋体"/>
          <w:b/>
          <w:bCs/>
          <w:sz w:val="24"/>
        </w:rPr>
      </w:pPr>
    </w:p>
    <w:p>
      <w:pPr>
        <w:pStyle w:val="18"/>
        <w:spacing w:line="560" w:lineRule="exact"/>
        <w:ind w:firstLine="482" w:firstLineChars="200"/>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rPr>
          <w:rFonts w:ascii="宋体" w:hAnsi="宋体"/>
          <w:b/>
          <w:bCs/>
          <w:sz w:val="24"/>
          <w:szCs w:val="28"/>
        </w:rPr>
      </w:pPr>
      <w:r>
        <w:rPr>
          <w:rFonts w:hint="eastAsia" w:ascii="宋体" w:hAnsi="宋体"/>
          <w:b/>
          <w:bCs/>
          <w:sz w:val="24"/>
          <w:szCs w:val="28"/>
        </w:rPr>
        <w:t>日  期：   年   月   日</w:t>
      </w:r>
    </w:p>
    <w:p>
      <w:pPr>
        <w:spacing w:line="360" w:lineRule="auto"/>
        <w:rPr>
          <w:rFonts w:ascii="宋体" w:hAnsi="宋体"/>
          <w:b/>
          <w:sz w:val="24"/>
          <w:szCs w:val="24"/>
        </w:rPr>
      </w:pPr>
    </w:p>
    <w:p>
      <w:pPr>
        <w:pStyle w:val="4"/>
        <w:wordWrap w:val="0"/>
        <w:spacing w:before="0" w:after="0" w:line="520" w:lineRule="exact"/>
        <w:ind w:firstLine="482" w:firstLineChars="200"/>
        <w:rPr>
          <w:rFonts w:ascii="宋体" w:hAnsi="宋体" w:eastAsia="宋体" w:cs="宋体"/>
          <w:sz w:val="24"/>
          <w:szCs w:val="24"/>
        </w:rPr>
      </w:pPr>
    </w:p>
    <w:p>
      <w:pPr>
        <w:rPr>
          <w:rFonts w:ascii="宋体" w:hAnsi="宋体" w:cs="宋体"/>
          <w:sz w:val="24"/>
          <w:szCs w:val="24"/>
        </w:rPr>
      </w:pPr>
    </w:p>
    <w:p>
      <w:pPr>
        <w:pStyle w:val="4"/>
        <w:wordWrap w:val="0"/>
        <w:spacing w:before="0" w:after="0" w:line="520" w:lineRule="exact"/>
        <w:rPr>
          <w:rFonts w:ascii="宋体" w:hAnsi="宋体" w:eastAsia="宋体" w:cs="宋体"/>
          <w:sz w:val="24"/>
          <w:szCs w:val="24"/>
        </w:rPr>
      </w:pPr>
      <w:r>
        <w:rPr>
          <w:rFonts w:hint="eastAsia" w:ascii="宋体" w:hAnsi="宋体" w:eastAsia="宋体" w:cs="宋体"/>
          <w:sz w:val="24"/>
          <w:szCs w:val="24"/>
        </w:rPr>
        <w:t>2、已标价工程量清单</w:t>
      </w:r>
    </w:p>
    <w:p>
      <w:pPr>
        <w:pStyle w:val="33"/>
        <w:spacing w:line="520" w:lineRule="exact"/>
        <w:ind w:firstLine="480" w:firstLineChars="200"/>
        <w:rPr>
          <w:rFonts w:ascii="宋体" w:hAnsi="宋体"/>
          <w:bCs/>
          <w:szCs w:val="24"/>
        </w:rPr>
      </w:pPr>
      <w:r>
        <w:rPr>
          <w:rFonts w:ascii="宋体" w:hAnsi="宋体"/>
          <w:bCs/>
          <w:szCs w:val="24"/>
        </w:rPr>
        <w:t>①</w:t>
      </w:r>
      <w:r>
        <w:rPr>
          <w:rFonts w:hint="eastAsia" w:ascii="宋体" w:hAnsi="宋体"/>
          <w:bCs/>
          <w:szCs w:val="24"/>
        </w:rPr>
        <w:t>格式详见工程量清单，分项报价应与总价一致，总价应与报价单响应报价金额一致；</w:t>
      </w:r>
    </w:p>
    <w:p>
      <w:pPr>
        <w:pStyle w:val="4"/>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附件二</w:t>
      </w:r>
      <w:bookmarkEnd w:id="81"/>
    </w:p>
    <w:p>
      <w:pPr>
        <w:pStyle w:val="4"/>
        <w:spacing w:before="0" w:after="0" w:line="560" w:lineRule="exact"/>
        <w:jc w:val="center"/>
        <w:rPr>
          <w:rFonts w:ascii="宋体" w:hAnsi="宋体" w:eastAsia="宋体" w:cs="宋体"/>
          <w:sz w:val="24"/>
          <w:szCs w:val="24"/>
        </w:rPr>
      </w:pPr>
      <w:bookmarkStart w:id="82" w:name="_Toc17280"/>
      <w:bookmarkStart w:id="83" w:name="_Toc31020"/>
      <w:r>
        <w:rPr>
          <w:rFonts w:hint="eastAsia" w:ascii="宋体" w:hAnsi="宋体" w:eastAsia="宋体" w:cs="宋体"/>
          <w:sz w:val="24"/>
          <w:szCs w:val="24"/>
        </w:rPr>
        <w:t>供应商基本信息</w:t>
      </w:r>
      <w:bookmarkEnd w:id="82"/>
      <w:bookmarkEnd w:id="83"/>
    </w:p>
    <w:p>
      <w:pPr>
        <w:pStyle w:val="33"/>
        <w:spacing w:line="520" w:lineRule="exact"/>
        <w:ind w:firstLine="480" w:firstLineChars="200"/>
        <w:rPr>
          <w:rFonts w:ascii="宋体" w:hAnsi="宋体"/>
          <w:szCs w:val="24"/>
        </w:rPr>
      </w:pPr>
      <w:r>
        <w:rPr>
          <w:rFonts w:hint="eastAsia" w:ascii="宋体" w:hAnsi="宋体"/>
          <w:szCs w:val="24"/>
        </w:rPr>
        <w:t>后附营业执照、资质证书、安全生产许可证、项目经理建造师证书、项目经理安全生产考核合格证书、项目班子社保证明材料等资料原件复印件或打印件。</w:t>
      </w:r>
    </w:p>
    <w:p>
      <w:pPr>
        <w:spacing w:line="360" w:lineRule="auto"/>
        <w:jc w:val="center"/>
      </w:pPr>
    </w:p>
    <w:p>
      <w:pPr>
        <w:pStyle w:val="4"/>
        <w:wordWrap w:val="0"/>
        <w:spacing w:before="0" w:after="0" w:line="560" w:lineRule="exact"/>
        <w:rPr>
          <w:rFonts w:ascii="宋体" w:hAnsi="宋体" w:eastAsia="宋体" w:cs="宋体"/>
          <w:sz w:val="24"/>
          <w:szCs w:val="24"/>
        </w:rPr>
      </w:pPr>
      <w:bookmarkStart w:id="84" w:name="_Toc30812"/>
      <w:r>
        <w:rPr>
          <w:rFonts w:hint="eastAsia" w:ascii="宋体" w:hAnsi="宋体" w:eastAsia="宋体" w:cs="宋体"/>
          <w:sz w:val="24"/>
          <w:szCs w:val="24"/>
        </w:rPr>
        <w:t>附件三</w:t>
      </w:r>
      <w:bookmarkEnd w:id="84"/>
    </w:p>
    <w:p>
      <w:pPr>
        <w:pStyle w:val="4"/>
        <w:spacing w:before="0" w:after="0" w:line="560" w:lineRule="exact"/>
        <w:jc w:val="center"/>
        <w:rPr>
          <w:rFonts w:ascii="宋体" w:hAnsi="宋体" w:eastAsia="宋体" w:cs="宋体"/>
          <w:sz w:val="24"/>
          <w:szCs w:val="24"/>
        </w:rPr>
      </w:pPr>
      <w:bookmarkStart w:id="85" w:name="_Toc3234"/>
      <w:bookmarkStart w:id="86" w:name="_Toc10696"/>
      <w:r>
        <w:rPr>
          <w:rFonts w:hint="eastAsia" w:ascii="宋体" w:hAnsi="宋体" w:eastAsia="宋体" w:cs="宋体"/>
          <w:sz w:val="24"/>
          <w:szCs w:val="24"/>
        </w:rPr>
        <w:t>谈判授权书</w:t>
      </w:r>
      <w:bookmarkEnd w:id="85"/>
      <w:bookmarkEnd w:id="86"/>
    </w:p>
    <w:p>
      <w:pPr>
        <w:rPr>
          <w:rFonts w:ascii="宋体" w:hAnsi="宋体"/>
          <w:sz w:val="24"/>
          <w:szCs w:val="24"/>
        </w:rPr>
      </w:pPr>
    </w:p>
    <w:p>
      <w:pPr>
        <w:spacing w:line="480" w:lineRule="auto"/>
        <w:jc w:val="left"/>
        <w:rPr>
          <w:rFonts w:ascii="宋体" w:hAnsi="宋体"/>
          <w:sz w:val="24"/>
          <w:szCs w:val="24"/>
        </w:rPr>
      </w:pPr>
      <w:r>
        <w:rPr>
          <w:rFonts w:hint="eastAsia" w:ascii="宋体" w:hAnsi="宋体"/>
          <w:sz w:val="24"/>
          <w:szCs w:val="24"/>
        </w:rPr>
        <w:t>致：_________________</w:t>
      </w:r>
    </w:p>
    <w:p>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pPr>
        <w:spacing w:line="480" w:lineRule="auto"/>
        <w:ind w:firstLine="480" w:firstLineChars="200"/>
        <w:jc w:val="left"/>
        <w:rPr>
          <w:rFonts w:ascii="宋体" w:hAnsi="宋体"/>
          <w:sz w:val="24"/>
          <w:szCs w:val="24"/>
        </w:rPr>
      </w:pPr>
      <w:r>
        <w:rPr>
          <w:rFonts w:hint="eastAsia" w:ascii="宋体" w:hAnsi="宋体"/>
          <w:sz w:val="24"/>
          <w:szCs w:val="24"/>
        </w:rPr>
        <w:t>特此声明。</w:t>
      </w:r>
    </w:p>
    <w:p>
      <w:pPr>
        <w:spacing w:line="360" w:lineRule="auto"/>
        <w:jc w:val="left"/>
        <w:rPr>
          <w:rFonts w:ascii="宋体" w:hAnsi="宋体"/>
          <w:sz w:val="24"/>
          <w:szCs w:val="24"/>
        </w:rPr>
      </w:pPr>
    </w:p>
    <w:p>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ind w:firstLine="1084" w:firstLineChars="450"/>
        <w:jc w:val="left"/>
        <w:rPr>
          <w:rFonts w:ascii="宋体" w:hAnsi="宋体"/>
          <w:b/>
          <w:bCs/>
          <w:sz w:val="24"/>
          <w:szCs w:val="24"/>
        </w:rPr>
      </w:pPr>
    </w:p>
    <w:p>
      <w:pPr>
        <w:spacing w:line="360" w:lineRule="auto"/>
        <w:ind w:firstLine="1084" w:firstLineChars="45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wordWrap w:val="0"/>
        <w:spacing w:line="360" w:lineRule="auto"/>
        <w:jc w:val="right"/>
        <w:rPr>
          <w:rFonts w:ascii="宋体" w:hAnsi="宋体"/>
          <w:sz w:val="24"/>
          <w:szCs w:val="24"/>
        </w:rPr>
      </w:pPr>
      <w:r>
        <w:rPr>
          <w:rFonts w:hint="eastAsia" w:ascii="宋体" w:hAnsi="宋体"/>
          <w:sz w:val="24"/>
          <w:szCs w:val="24"/>
        </w:rPr>
        <w:t xml:space="preserve">                                                      </w:t>
      </w: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spacing w:line="360" w:lineRule="auto"/>
        <w:rPr>
          <w:rFonts w:ascii="宋体" w:hAnsi="宋体" w:cs="宋体"/>
          <w:b/>
          <w:sz w:val="24"/>
          <w:szCs w:val="24"/>
        </w:rPr>
      </w:pPr>
      <w:bookmarkStart w:id="87" w:name="_Toc15172"/>
      <w:r>
        <w:rPr>
          <w:rFonts w:hint="eastAsia" w:ascii="宋体" w:hAnsi="宋体" w:cs="宋体"/>
          <w:b/>
          <w:sz w:val="24"/>
          <w:szCs w:val="24"/>
        </w:rPr>
        <w:t>法定代表人身份证复印件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spacing w:line="360" w:lineRule="auto"/>
        <w:rPr>
          <w:rFonts w:ascii="宋体" w:hAnsi="宋体" w:cs="宋体"/>
          <w:b/>
          <w:sz w:val="24"/>
          <w:szCs w:val="24"/>
        </w:rPr>
      </w:pPr>
    </w:p>
    <w:p>
      <w:pPr>
        <w:pStyle w:val="2"/>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482" w:firstLineChars="200"/>
        <w:rPr>
          <w:rFonts w:ascii="宋体" w:hAnsi="宋体" w:cs="宋体"/>
          <w:b/>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pStyle w:val="16"/>
        <w:rPr>
          <w:rFonts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特殊说明：</w:t>
      </w:r>
    </w:p>
    <w:p>
      <w:pPr>
        <w:spacing w:line="360" w:lineRule="auto"/>
        <w:rPr>
          <w:rFonts w:ascii="宋体" w:hAnsi="宋体" w:cs="宋体"/>
          <w:b/>
          <w:sz w:val="24"/>
          <w:szCs w:val="24"/>
        </w:rPr>
      </w:pPr>
      <w:r>
        <w:rPr>
          <w:rFonts w:hint="eastAsia" w:ascii="宋体" w:hAnsi="宋体" w:cs="宋体"/>
          <w:b/>
          <w:sz w:val="24"/>
          <w:szCs w:val="24"/>
        </w:rPr>
        <w:t>1、上述身份证复印件必须清晰；</w:t>
      </w:r>
    </w:p>
    <w:p>
      <w:pPr>
        <w:spacing w:line="360" w:lineRule="auto"/>
        <w:rPr>
          <w:rFonts w:ascii="宋体" w:hAnsi="宋体" w:cs="宋体"/>
          <w:b/>
          <w:sz w:val="24"/>
          <w:szCs w:val="24"/>
        </w:rPr>
      </w:pPr>
      <w:r>
        <w:rPr>
          <w:rFonts w:hint="eastAsia" w:ascii="宋体" w:hAnsi="宋体" w:cs="宋体"/>
          <w:b/>
          <w:sz w:val="24"/>
          <w:szCs w:val="24"/>
        </w:rPr>
        <w:t>2、法定代表人参加投标的无需提供谈判授权书，仅提供法定代表人身份证明及联系方式即可。</w:t>
      </w:r>
    </w:p>
    <w:p>
      <w:pPr>
        <w:spacing w:line="360" w:lineRule="auto"/>
        <w:ind w:left="1653" w:leftChars="787" w:firstLine="117" w:firstLineChars="49"/>
        <w:rPr>
          <w:rFonts w:ascii="宋体" w:hAnsi="宋体" w:cs="宋体"/>
          <w:b/>
          <w:sz w:val="24"/>
          <w:szCs w:val="24"/>
        </w:rPr>
      </w:pPr>
      <w:r>
        <w:rPr>
          <w:rFonts w:hint="eastAsia" w:ascii="宋体" w:hAnsi="宋体" w:cs="宋体"/>
          <w:sz w:val="24"/>
          <w:szCs w:val="24"/>
        </w:rPr>
        <w:t xml:space="preserve">     </w:t>
      </w:r>
    </w:p>
    <w:p>
      <w:pPr>
        <w:jc w:val="center"/>
        <w:rPr>
          <w:rFonts w:ascii="宋体" w:cs="黑体"/>
          <w:sz w:val="28"/>
          <w:szCs w:val="28"/>
        </w:rPr>
      </w:pPr>
      <w:r>
        <w:rPr>
          <w:rFonts w:hint="eastAsia" w:ascii="宋体" w:hAnsi="宋体" w:cs="黑体"/>
          <w:sz w:val="28"/>
          <w:szCs w:val="28"/>
        </w:rPr>
        <w:t>法定代表人身份证明</w:t>
      </w:r>
    </w:p>
    <w:p>
      <w:pPr>
        <w:spacing w:line="360" w:lineRule="auto"/>
        <w:rPr>
          <w:rFonts w:ascii="宋体" w:cs="仿宋_GB2312"/>
          <w:sz w:val="24"/>
          <w:szCs w:val="24"/>
        </w:rPr>
      </w:pPr>
    </w:p>
    <w:p>
      <w:pPr>
        <w:spacing w:line="360" w:lineRule="auto"/>
        <w:rPr>
          <w:rFonts w:ascii="宋体" w:cs="仿宋_GB2312"/>
          <w:sz w:val="24"/>
          <w:szCs w:val="24"/>
        </w:rPr>
      </w:pPr>
    </w:p>
    <w:p>
      <w:pPr>
        <w:spacing w:line="360" w:lineRule="auto"/>
        <w:rPr>
          <w:rFonts w:ascii="宋体" w:hAnsi="宋体" w:cs="仿宋_GB2312"/>
          <w:sz w:val="24"/>
          <w:szCs w:val="24"/>
        </w:rPr>
      </w:pPr>
      <w:r>
        <w:rPr>
          <w:rFonts w:hint="eastAsia" w:ascii="宋体" w:hAnsi="宋体" w:cs="仿宋_GB2312"/>
          <w:sz w:val="24"/>
          <w:szCs w:val="24"/>
        </w:rPr>
        <w:t>供应商名称：</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cs="仿宋_GB2312"/>
          <w:sz w:val="24"/>
          <w:szCs w:val="24"/>
        </w:rPr>
      </w:pPr>
      <w:r>
        <w:rPr>
          <w:rFonts w:hint="eastAsia" w:ascii="宋体" w:hAnsi="宋体" w:cs="仿宋_GB2312"/>
          <w:sz w:val="24"/>
          <w:szCs w:val="24"/>
        </w:rPr>
        <w:t>单位性质：</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r>
        <w:rPr>
          <w:rFonts w:ascii="宋体" w:hAnsi="宋体" w:cs="仿宋_GB2312"/>
          <w:sz w:val="24"/>
          <w:szCs w:val="24"/>
        </w:rPr>
        <w:t xml:space="preserve"> </w:t>
      </w:r>
    </w:p>
    <w:p>
      <w:pPr>
        <w:spacing w:line="360" w:lineRule="auto"/>
        <w:rPr>
          <w:rFonts w:ascii="宋体" w:cs="仿宋_GB2312"/>
          <w:sz w:val="24"/>
          <w:szCs w:val="24"/>
        </w:rPr>
      </w:pPr>
      <w:r>
        <w:rPr>
          <w:rFonts w:hint="eastAsia" w:ascii="宋体" w:hAnsi="宋体" w:cs="仿宋_GB2312"/>
          <w:sz w:val="24"/>
          <w:szCs w:val="24"/>
        </w:rPr>
        <w:t>地</w:t>
      </w:r>
      <w:r>
        <w:rPr>
          <w:rFonts w:ascii="宋体" w:hAnsi="宋体" w:cs="仿宋_GB2312"/>
          <w:sz w:val="24"/>
          <w:szCs w:val="24"/>
        </w:rPr>
        <w:t xml:space="preserve">    </w:t>
      </w:r>
      <w:r>
        <w:rPr>
          <w:rFonts w:hint="eastAsia" w:ascii="宋体" w:hAnsi="宋体" w:cs="仿宋_GB2312"/>
          <w:sz w:val="24"/>
          <w:szCs w:val="24"/>
        </w:rPr>
        <w:t>址：</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p>
    <w:p>
      <w:pPr>
        <w:spacing w:line="360" w:lineRule="auto"/>
        <w:rPr>
          <w:rFonts w:ascii="宋体" w:cs="仿宋_GB2312"/>
          <w:sz w:val="24"/>
          <w:szCs w:val="24"/>
        </w:rPr>
      </w:pPr>
      <w:r>
        <w:rPr>
          <w:rFonts w:hint="eastAsia" w:ascii="宋体" w:hAnsi="宋体" w:cs="仿宋_GB2312"/>
          <w:sz w:val="24"/>
          <w:szCs w:val="24"/>
        </w:rPr>
        <w:t>成立时间：</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年</w:t>
      </w:r>
      <w:r>
        <w:rPr>
          <w:rFonts w:ascii="宋体" w:hAnsi="宋体" w:cs="仿宋_GB2312"/>
          <w:sz w:val="24"/>
          <w:szCs w:val="24"/>
          <w:u w:val="single"/>
        </w:rPr>
        <w:t xml:space="preserve">  </w:t>
      </w:r>
      <w:r>
        <w:rPr>
          <w:rFonts w:hint="eastAsia" w:ascii="宋体" w:hAnsi="宋体" w:cs="仿宋_GB2312"/>
          <w:sz w:val="24"/>
          <w:szCs w:val="24"/>
        </w:rPr>
        <w:t>月</w:t>
      </w:r>
      <w:r>
        <w:rPr>
          <w:rFonts w:ascii="宋体" w:hAnsi="宋体" w:cs="仿宋_GB2312"/>
          <w:sz w:val="24"/>
          <w:szCs w:val="24"/>
          <w:u w:val="single"/>
        </w:rPr>
        <w:t xml:space="preserve">   </w:t>
      </w:r>
      <w:r>
        <w:rPr>
          <w:rFonts w:hint="eastAsia" w:ascii="宋体" w:hAnsi="宋体" w:cs="仿宋_GB2312"/>
          <w:sz w:val="24"/>
          <w:szCs w:val="24"/>
        </w:rPr>
        <w:t>日</w:t>
      </w:r>
    </w:p>
    <w:p>
      <w:pPr>
        <w:spacing w:line="360" w:lineRule="auto"/>
        <w:rPr>
          <w:rFonts w:ascii="宋体" w:cs="仿宋_GB2312"/>
          <w:sz w:val="24"/>
          <w:szCs w:val="24"/>
        </w:rPr>
      </w:pPr>
      <w:r>
        <w:rPr>
          <w:rFonts w:hint="eastAsia" w:ascii="宋体" w:hAnsi="宋体" w:cs="仿宋_GB2312"/>
          <w:sz w:val="24"/>
          <w:szCs w:val="24"/>
        </w:rPr>
        <w:t>经营期限：</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hAnsi="宋体" w:cs="仿宋_GB2312"/>
          <w:sz w:val="24"/>
          <w:szCs w:val="24"/>
        </w:rPr>
      </w:pPr>
      <w:r>
        <w:rPr>
          <w:rFonts w:hint="eastAsia" w:ascii="宋体" w:hAnsi="宋体" w:cs="仿宋_GB2312"/>
          <w:sz w:val="24"/>
          <w:szCs w:val="24"/>
        </w:rPr>
        <w:t>姓名：</w:t>
      </w:r>
      <w:r>
        <w:rPr>
          <w:rFonts w:ascii="宋体" w:hAnsi="宋体" w:cs="仿宋_GB2312"/>
          <w:sz w:val="24"/>
          <w:szCs w:val="24"/>
          <w:u w:val="single"/>
        </w:rPr>
        <w:t xml:space="preserve">    </w:t>
      </w:r>
      <w:r>
        <w:rPr>
          <w:rFonts w:hint="eastAsia" w:ascii="宋体" w:hAnsi="宋体" w:cs="仿宋_GB2312"/>
          <w:sz w:val="24"/>
          <w:szCs w:val="24"/>
        </w:rPr>
        <w:t>性别：</w:t>
      </w:r>
      <w:r>
        <w:rPr>
          <w:rFonts w:ascii="宋体" w:hAnsi="宋体" w:cs="仿宋_GB2312"/>
          <w:sz w:val="24"/>
          <w:szCs w:val="24"/>
          <w:u w:val="single"/>
        </w:rPr>
        <w:t xml:space="preserve">    </w:t>
      </w:r>
      <w:r>
        <w:rPr>
          <w:rFonts w:hint="eastAsia" w:ascii="宋体" w:hAnsi="宋体" w:cs="仿宋_GB2312"/>
          <w:sz w:val="24"/>
          <w:szCs w:val="24"/>
        </w:rPr>
        <w:t>年龄：</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职务：</w:t>
      </w:r>
      <w:r>
        <w:rPr>
          <w:rFonts w:ascii="宋体" w:hAnsi="宋体" w:cs="仿宋_GB2312"/>
          <w:sz w:val="24"/>
          <w:szCs w:val="24"/>
          <w:u w:val="single"/>
        </w:rPr>
        <w:t xml:space="preserve">     </w:t>
      </w:r>
      <w:r>
        <w:rPr>
          <w:rFonts w:hint="eastAsia" w:ascii="宋体" w:hAnsi="宋体" w:cs="仿宋_GB2312"/>
          <w:sz w:val="24"/>
          <w:szCs w:val="24"/>
        </w:rPr>
        <w:t>系</w:t>
      </w:r>
      <w:r>
        <w:rPr>
          <w:rFonts w:ascii="宋体" w:hAnsi="宋体" w:cs="仿宋_GB2312"/>
          <w:sz w:val="24"/>
          <w:szCs w:val="24"/>
          <w:u w:val="single"/>
        </w:rPr>
        <w:t xml:space="preserve">             </w:t>
      </w:r>
      <w:r>
        <w:rPr>
          <w:rFonts w:hint="eastAsia" w:ascii="宋体" w:hAnsi="宋体" w:cs="仿宋_GB2312"/>
          <w:sz w:val="24"/>
          <w:szCs w:val="24"/>
        </w:rPr>
        <w:t>（供应商名称）的法定代表人。</w:t>
      </w:r>
    </w:p>
    <w:p>
      <w:pPr>
        <w:spacing w:line="360" w:lineRule="auto"/>
        <w:rPr>
          <w:rFonts w:ascii="宋体" w:hAnsi="宋体" w:cs="仿宋_GB2312"/>
          <w:sz w:val="24"/>
          <w:szCs w:val="24"/>
        </w:rPr>
      </w:pPr>
      <w:r>
        <w:rPr>
          <w:rFonts w:hint="eastAsia" w:ascii="宋体" w:hAnsi="宋体" w:cs="仿宋_GB2312"/>
          <w:sz w:val="24"/>
          <w:szCs w:val="24"/>
        </w:rPr>
        <w:t xml:space="preserve">联系手机：                        </w:t>
      </w:r>
    </w:p>
    <w:p>
      <w:pPr>
        <w:spacing w:line="360" w:lineRule="auto"/>
        <w:rPr>
          <w:rFonts w:ascii="宋体" w:hAnsi="宋体" w:cs="仿宋_GB2312"/>
          <w:sz w:val="24"/>
          <w:szCs w:val="24"/>
        </w:rPr>
      </w:pPr>
      <w:r>
        <w:rPr>
          <w:rFonts w:hint="eastAsia" w:ascii="宋体" w:hAnsi="宋体" w:cs="仿宋_GB2312"/>
          <w:sz w:val="24"/>
          <w:szCs w:val="24"/>
        </w:rPr>
        <w:t>固定电话：</w:t>
      </w:r>
    </w:p>
    <w:p>
      <w:pPr>
        <w:spacing w:line="360" w:lineRule="auto"/>
        <w:rPr>
          <w:rFonts w:ascii="宋体" w:hAnsi="宋体" w:cs="仿宋_GB2312"/>
          <w:sz w:val="24"/>
          <w:szCs w:val="24"/>
        </w:rPr>
      </w:pPr>
      <w:r>
        <w:rPr>
          <w:rFonts w:hint="eastAsia" w:ascii="宋体" w:hAnsi="宋体" w:cs="仿宋_GB2312"/>
          <w:sz w:val="24"/>
          <w:szCs w:val="24"/>
        </w:rPr>
        <w:t>特此证明。</w:t>
      </w:r>
    </w:p>
    <w:p>
      <w:pPr>
        <w:spacing w:line="360" w:lineRule="auto"/>
        <w:rPr>
          <w:rFonts w:ascii="宋体" w:hAnsi="宋体" w:cs="仿宋_GB2312"/>
          <w:sz w:val="24"/>
          <w:szCs w:val="24"/>
        </w:rPr>
      </w:pPr>
      <w:r>
        <w:rPr>
          <w:rFonts w:hint="eastAsia" w:ascii="宋体" w:hAnsi="宋体" w:cs="仿宋_GB2312"/>
          <w:sz w:val="24"/>
          <w:szCs w:val="24"/>
        </w:rPr>
        <w:t>附：法定代表人身份证复印件。</w:t>
      </w:r>
    </w:p>
    <w:p>
      <w:pPr>
        <w:spacing w:line="360" w:lineRule="auto"/>
        <w:rPr>
          <w:rFonts w:ascii="宋体" w:cs="仿宋_GB2312"/>
          <w:sz w:val="24"/>
          <w:szCs w:val="24"/>
        </w:rPr>
      </w:pPr>
    </w:p>
    <w:p>
      <w:pPr>
        <w:pStyle w:val="2"/>
      </w:pPr>
    </w:p>
    <w:p>
      <w:pPr>
        <w:spacing w:line="360" w:lineRule="auto"/>
        <w:jc w:val="right"/>
        <w:rPr>
          <w:rFonts w:ascii="宋体" w:cs="仿宋_GB2312"/>
          <w:sz w:val="24"/>
          <w:szCs w:val="24"/>
        </w:rPr>
      </w:pPr>
      <w:r>
        <w:rPr>
          <w:rFonts w:hint="eastAsia" w:ascii="宋体" w:hAnsi="宋体" w:cs="仿宋_GB2312"/>
          <w:sz w:val="24"/>
          <w:szCs w:val="24"/>
        </w:rPr>
        <w:t>供应商：</w:t>
      </w:r>
      <w:r>
        <w:rPr>
          <w:rFonts w:ascii="宋体" w:hAnsi="宋体" w:cs="仿宋_GB2312"/>
          <w:sz w:val="24"/>
          <w:szCs w:val="24"/>
          <w:u w:val="single"/>
        </w:rPr>
        <w:t xml:space="preserve">           </w:t>
      </w:r>
      <w:r>
        <w:rPr>
          <w:rFonts w:hint="eastAsia" w:ascii="宋体" w:hAnsi="宋体" w:cs="仿宋_GB2312"/>
          <w:sz w:val="24"/>
          <w:szCs w:val="24"/>
        </w:rPr>
        <w:t>（盖单位章）</w:t>
      </w:r>
    </w:p>
    <w:p>
      <w:pPr>
        <w:spacing w:line="360" w:lineRule="auto"/>
        <w:ind w:left="5399" w:leftChars="2571"/>
        <w:rPr>
          <w:rFonts w:ascii="宋体" w:cs="仿宋_GB2312"/>
          <w:sz w:val="24"/>
          <w:szCs w:val="24"/>
        </w:rPr>
      </w:pPr>
    </w:p>
    <w:p>
      <w:pPr>
        <w:spacing w:line="360" w:lineRule="auto"/>
        <w:ind w:left="6659" w:leftChars="3171"/>
        <w:rPr>
          <w:rFonts w:ascii="宋体" w:cs="仿宋_GB2312"/>
          <w:sz w:val="24"/>
          <w:szCs w:val="24"/>
        </w:rPr>
      </w:pP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 xml:space="preserve">月 </w:t>
      </w:r>
      <w:r>
        <w:rPr>
          <w:rFonts w:ascii="宋体" w:hAnsi="宋体" w:cs="仿宋_GB2312"/>
          <w:sz w:val="24"/>
          <w:szCs w:val="24"/>
        </w:rPr>
        <w:t xml:space="preserve"> </w:t>
      </w:r>
      <w:r>
        <w:rPr>
          <w:rFonts w:hint="eastAsia" w:ascii="宋体" w:hAnsi="宋体" w:cs="仿宋_GB2312"/>
          <w:sz w:val="24"/>
          <w:szCs w:val="24"/>
        </w:rPr>
        <w:t>日</w:t>
      </w:r>
    </w:p>
    <w:p>
      <w:pPr>
        <w:pStyle w:val="16"/>
        <w:rPr>
          <w:rFonts w:hAnsi="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t>附件四</w:t>
      </w:r>
      <w:bookmarkEnd w:id="87"/>
    </w:p>
    <w:p>
      <w:pPr>
        <w:pStyle w:val="4"/>
        <w:spacing w:before="0" w:after="0" w:line="560" w:lineRule="exact"/>
        <w:jc w:val="center"/>
        <w:rPr>
          <w:rFonts w:ascii="宋体" w:hAnsi="宋体" w:eastAsia="宋体" w:cs="宋体"/>
          <w:sz w:val="24"/>
          <w:szCs w:val="24"/>
        </w:rPr>
      </w:pPr>
      <w:bookmarkStart w:id="88" w:name="_Toc417045478"/>
      <w:r>
        <w:rPr>
          <w:rFonts w:hint="eastAsia" w:ascii="宋体" w:hAnsi="宋体" w:eastAsia="宋体" w:cs="宋体"/>
          <w:sz w:val="24"/>
          <w:szCs w:val="24"/>
        </w:rPr>
        <w:t>谈判响应函</w:t>
      </w:r>
    </w:p>
    <w:p>
      <w:pPr>
        <w:spacing w:line="360" w:lineRule="auto"/>
        <w:rPr>
          <w:rFonts w:ascii="宋体" w:hAnsi="宋体"/>
          <w:sz w:val="24"/>
          <w:szCs w:val="24"/>
        </w:rPr>
      </w:pPr>
      <w:r>
        <w:rPr>
          <w:rFonts w:hint="eastAsia" w:ascii="宋体" w:hAnsi="宋体"/>
          <w:sz w:val="24"/>
          <w:szCs w:val="24"/>
        </w:rPr>
        <w:t>致：</w:t>
      </w:r>
    </w:p>
    <w:p>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2、我方愿意按照采购书规定的各项要求，向采购人提供所需的工程服务。</w:t>
      </w:r>
    </w:p>
    <w:p>
      <w:pPr>
        <w:spacing w:line="360" w:lineRule="auto"/>
        <w:ind w:firstLine="480" w:firstLineChars="200"/>
        <w:rPr>
          <w:rFonts w:ascii="宋体" w:hAnsi="宋体"/>
          <w:sz w:val="24"/>
          <w:szCs w:val="24"/>
        </w:rPr>
      </w:pPr>
      <w:r>
        <w:rPr>
          <w:rFonts w:hint="eastAsia" w:ascii="宋体" w:hAnsi="宋体"/>
          <w:sz w:val="24"/>
          <w:szCs w:val="24"/>
        </w:rPr>
        <w:t>3、一旦我方成交，我方将严格履行合同规定的责任和义务，保证于采购人要求的日期内完成项目的全部内容，并交付采购人验收、使用。</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4、我方愿意提供贵方可能另外要求的、与谈判有关的文件资料，并保证我方已提供和将要提供的文件是真实的、准确的。</w:t>
      </w:r>
    </w:p>
    <w:p>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5、我方完全理解贵方不一定将合同授予最低报价的供应商。</w:t>
      </w:r>
    </w:p>
    <w:p>
      <w:pPr>
        <w:tabs>
          <w:tab w:val="left" w:pos="0"/>
          <w:tab w:val="left" w:pos="840"/>
        </w:tabs>
        <w:spacing w:line="360" w:lineRule="auto"/>
        <w:jc w:val="left"/>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pStyle w:val="5"/>
        <w:rPr>
          <w:sz w:val="24"/>
          <w:szCs w:val="24"/>
          <w:lang w:val="en-US"/>
        </w:rPr>
      </w:pPr>
    </w:p>
    <w:p/>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4"/>
        <w:spacing w:before="0" w:after="0" w:line="560" w:lineRule="exact"/>
        <w:rPr>
          <w:rFonts w:ascii="宋体" w:hAnsi="宋体" w:eastAsia="宋体" w:cs="宋体"/>
          <w:sz w:val="24"/>
          <w:szCs w:val="24"/>
        </w:rPr>
      </w:pPr>
      <w:bookmarkStart w:id="89" w:name="_Toc30069"/>
      <w:r>
        <w:rPr>
          <w:rFonts w:hint="eastAsia" w:ascii="宋体" w:hAnsi="宋体" w:eastAsia="宋体" w:cs="宋体"/>
          <w:sz w:val="24"/>
          <w:szCs w:val="24"/>
        </w:rPr>
        <w:t>附件</w:t>
      </w:r>
      <w:bookmarkEnd w:id="88"/>
      <w:r>
        <w:rPr>
          <w:rFonts w:hint="eastAsia" w:ascii="宋体" w:hAnsi="宋体" w:eastAsia="宋体" w:cs="宋体"/>
          <w:sz w:val="24"/>
          <w:szCs w:val="24"/>
        </w:rPr>
        <w:t>五</w:t>
      </w:r>
      <w:bookmarkEnd w:id="89"/>
    </w:p>
    <w:p>
      <w:pPr>
        <w:pStyle w:val="33"/>
        <w:ind w:firstLine="2891" w:firstLineChars="1200"/>
        <w:rPr>
          <w:rFonts w:ascii="宋体" w:hAnsi="宋体" w:cs="宋体"/>
          <w:b/>
          <w:szCs w:val="24"/>
          <w:lang w:val="zh-CN"/>
        </w:rPr>
      </w:pPr>
      <w:bookmarkStart w:id="90" w:name="_Hlk77794441"/>
      <w:bookmarkStart w:id="91" w:name="_Hlk77793942"/>
      <w:bookmarkStart w:id="92" w:name="_Toc363199274"/>
      <w:r>
        <w:rPr>
          <w:rFonts w:hint="eastAsia" w:ascii="宋体" w:hAnsi="宋体" w:cs="宋体"/>
          <w:b/>
          <w:szCs w:val="24"/>
          <w:lang w:val="zh-CN"/>
        </w:rPr>
        <w:t>无重大违法记录声明函</w:t>
      </w:r>
    </w:p>
    <w:p>
      <w:pPr>
        <w:pStyle w:val="33"/>
        <w:ind w:firstLine="480" w:firstLineChars="200"/>
        <w:rPr>
          <w:rFonts w:ascii="宋体" w:hAnsi="宋体"/>
          <w:szCs w:val="24"/>
        </w:rPr>
      </w:pPr>
      <w:bookmarkStart w:id="93"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93"/>
    <w:p>
      <w:pPr>
        <w:pStyle w:val="33"/>
        <w:ind w:firstLine="210"/>
      </w:pPr>
    </w:p>
    <w:p>
      <w:pPr>
        <w:pStyle w:val="33"/>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94"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公司被市场监督管理部门列入企业经营异常名录；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90"/>
    <w:bookmarkEnd w:id="94"/>
    <w:p>
      <w:pPr>
        <w:pStyle w:val="33"/>
        <w:ind w:firstLine="210"/>
      </w:pPr>
    </w:p>
    <w:bookmarkEnd w:id="91"/>
    <w:p>
      <w:pPr>
        <w:pStyle w:val="33"/>
        <w:ind w:firstLine="210"/>
      </w:pPr>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4"/>
        <w:spacing w:before="0" w:after="0" w:line="560" w:lineRule="exact"/>
        <w:rPr>
          <w:rFonts w:ascii="宋体" w:hAnsi="宋体" w:eastAsia="宋体" w:cs="宋体"/>
          <w:sz w:val="24"/>
          <w:szCs w:val="24"/>
        </w:rPr>
      </w:pPr>
      <w:bookmarkStart w:id="95" w:name="_Toc11207"/>
      <w:r>
        <w:rPr>
          <w:rFonts w:hint="eastAsia" w:ascii="宋体" w:hAnsi="宋体" w:eastAsia="宋体" w:cs="宋体"/>
          <w:sz w:val="24"/>
          <w:szCs w:val="24"/>
        </w:rPr>
        <w:t>附件</w:t>
      </w:r>
      <w:bookmarkEnd w:id="92"/>
      <w:r>
        <w:rPr>
          <w:rFonts w:hint="eastAsia" w:ascii="宋体" w:hAnsi="宋体" w:eastAsia="宋体" w:cs="宋体"/>
          <w:sz w:val="24"/>
          <w:szCs w:val="24"/>
        </w:rPr>
        <w:t>六</w:t>
      </w:r>
      <w:bookmarkEnd w:id="95"/>
    </w:p>
    <w:p>
      <w:pPr>
        <w:pStyle w:val="4"/>
        <w:spacing w:before="0" w:after="0" w:line="560" w:lineRule="exact"/>
        <w:jc w:val="center"/>
        <w:rPr>
          <w:rFonts w:ascii="宋体" w:hAnsi="宋体" w:eastAsia="宋体" w:cs="宋体"/>
          <w:sz w:val="24"/>
          <w:szCs w:val="24"/>
          <w:lang w:val="zh-CN"/>
        </w:rPr>
      </w:pPr>
      <w:bookmarkStart w:id="96" w:name="_Toc25238"/>
      <w:bookmarkStart w:id="97" w:name="_Toc11166"/>
      <w:r>
        <w:rPr>
          <w:rFonts w:hint="eastAsia" w:ascii="宋体" w:hAnsi="宋体" w:eastAsia="宋体" w:cs="宋体"/>
          <w:sz w:val="24"/>
          <w:szCs w:val="24"/>
          <w:lang w:val="zh-CN"/>
        </w:rPr>
        <w:t>响应情况表</w:t>
      </w:r>
      <w:bookmarkEnd w:id="96"/>
      <w:bookmarkEnd w:id="97"/>
    </w:p>
    <w:p>
      <w:pPr>
        <w:jc w:val="center"/>
        <w:rPr>
          <w:bCs/>
          <w:sz w:val="24"/>
          <w:szCs w:val="24"/>
          <w:lang w:val="zh-CN"/>
        </w:rPr>
      </w:pPr>
    </w:p>
    <w:tbl>
      <w:tblPr>
        <w:tblStyle w:val="35"/>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3092"/>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5402" w:type="dxa"/>
            <w:gridSpan w:val="3"/>
            <w:vAlign w:val="center"/>
          </w:tcPr>
          <w:p>
            <w:pPr>
              <w:jc w:val="center"/>
              <w:rPr>
                <w:rFonts w:ascii="宋体" w:hAnsi="宋体" w:cs="宋体"/>
                <w:b/>
                <w:bCs/>
                <w:sz w:val="24"/>
                <w:szCs w:val="24"/>
              </w:rPr>
            </w:pPr>
            <w:bookmarkStart w:id="98" w:name="_Toc471299110"/>
            <w:r>
              <w:rPr>
                <w:rFonts w:hint="eastAsia" w:ascii="宋体" w:hAnsi="宋体" w:cs="宋体"/>
                <w:b/>
                <w:bCs/>
                <w:sz w:val="24"/>
                <w:szCs w:val="24"/>
              </w:rPr>
              <w:t>按谈判文件规定填写</w:t>
            </w:r>
          </w:p>
        </w:tc>
        <w:tc>
          <w:tcPr>
            <w:tcW w:w="3628" w:type="dxa"/>
            <w:vAlign w:val="center"/>
          </w:tcPr>
          <w:p>
            <w:pPr>
              <w:jc w:val="center"/>
              <w:rPr>
                <w:rFonts w:ascii="宋体" w:hAnsi="宋体" w:cs="宋体"/>
                <w:b/>
                <w:bCs/>
                <w:sz w:val="24"/>
                <w:szCs w:val="24"/>
              </w:rPr>
            </w:pPr>
            <w:r>
              <w:rPr>
                <w:rFonts w:hint="eastAsia" w:ascii="宋体" w:hAnsi="宋体" w:cs="宋体"/>
                <w:b/>
                <w:bCs/>
                <w:sz w:val="24"/>
                <w:szCs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pPr>
              <w:jc w:val="center"/>
              <w:rPr>
                <w:rFonts w:ascii="宋体" w:hAnsi="宋体" w:cs="宋体"/>
                <w:sz w:val="24"/>
                <w:szCs w:val="24"/>
              </w:rPr>
            </w:pPr>
            <w:r>
              <w:rPr>
                <w:rFonts w:hint="eastAsia" w:ascii="宋体" w:hAnsi="宋体" w:cs="宋体"/>
                <w:sz w:val="24"/>
                <w:szCs w:val="24"/>
              </w:rPr>
              <w:t>内容</w:t>
            </w:r>
          </w:p>
        </w:tc>
        <w:tc>
          <w:tcPr>
            <w:tcW w:w="3092" w:type="dxa"/>
            <w:vAlign w:val="center"/>
          </w:tcPr>
          <w:p>
            <w:pPr>
              <w:jc w:val="center"/>
              <w:rPr>
                <w:rFonts w:ascii="宋体" w:hAnsi="宋体" w:cs="宋体"/>
                <w:sz w:val="24"/>
                <w:szCs w:val="24"/>
              </w:rPr>
            </w:pPr>
            <w:r>
              <w:rPr>
                <w:rFonts w:hint="eastAsia" w:ascii="宋体" w:hAnsi="宋体" w:cs="宋体"/>
                <w:sz w:val="24"/>
                <w:szCs w:val="24"/>
              </w:rPr>
              <w:t>谈判文件要求</w:t>
            </w:r>
          </w:p>
        </w:tc>
        <w:tc>
          <w:tcPr>
            <w:tcW w:w="3628" w:type="dxa"/>
            <w:vAlign w:val="center"/>
          </w:tcPr>
          <w:p>
            <w:pPr>
              <w:jc w:val="center"/>
              <w:rPr>
                <w:rFonts w:ascii="宋体" w:hAnsi="宋体" w:cs="宋体"/>
                <w:sz w:val="24"/>
                <w:szCs w:val="24"/>
              </w:rPr>
            </w:pPr>
            <w:r>
              <w:rPr>
                <w:rFonts w:hint="eastAsia" w:ascii="宋体" w:hAnsi="宋体" w:cs="宋体"/>
                <w:sz w:val="24"/>
                <w:szCs w:val="24"/>
              </w:rPr>
              <w:t>响应承诺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r>
              <w:rPr>
                <w:rFonts w:hint="eastAsia" w:ascii="宋体" w:hAnsi="宋体" w:cs="宋体"/>
                <w:sz w:val="24"/>
                <w:szCs w:val="24"/>
              </w:rPr>
              <w:t>工期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jc w:val="center"/>
              <w:rPr>
                <w:rFonts w:ascii="宋体" w:hAnsi="宋体" w:cs="宋体"/>
                <w:sz w:val="24"/>
                <w:szCs w:val="24"/>
              </w:rPr>
            </w:pPr>
            <w:r>
              <w:rPr>
                <w:rFonts w:hint="eastAsia" w:ascii="宋体" w:hAnsi="宋体" w:cs="宋体"/>
                <w:sz w:val="24"/>
                <w:szCs w:val="24"/>
              </w:rPr>
              <w:t>质保期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r>
              <w:rPr>
                <w:rFonts w:hint="eastAsia" w:ascii="宋体" w:hAnsi="宋体" w:cs="宋体"/>
                <w:sz w:val="24"/>
                <w:szCs w:val="24"/>
              </w:rPr>
              <w:t>其他</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供应商盖章：</w:t>
      </w:r>
    </w:p>
    <w:p>
      <w:pPr>
        <w:spacing w:line="360" w:lineRule="auto"/>
        <w:jc w:val="left"/>
        <w:rPr>
          <w:rFonts w:ascii="宋体" w:hAnsi="宋体" w:cs="宋体"/>
          <w:b/>
          <w:bCs/>
          <w:sz w:val="24"/>
          <w:szCs w:val="24"/>
        </w:rPr>
      </w:pPr>
      <w:r>
        <w:rPr>
          <w:rFonts w:hint="eastAsia" w:ascii="宋体" w:hAnsi="宋体" w:cs="宋体"/>
          <w:b/>
          <w:bCs/>
          <w:sz w:val="24"/>
          <w:szCs w:val="24"/>
        </w:rPr>
        <w:t>日期：   年  月  日</w:t>
      </w:r>
    </w:p>
    <w:p>
      <w:pPr>
        <w:spacing w:before="156" w:beforeLines="50" w:after="156" w:afterLines="50" w:line="360" w:lineRule="auto"/>
        <w:rPr>
          <w:rFonts w:ascii="宋体" w:hAnsi="宋体" w:cs="宋体"/>
          <w:sz w:val="24"/>
          <w:szCs w:val="24"/>
        </w:rPr>
      </w:pPr>
      <w:r>
        <w:rPr>
          <w:rFonts w:hint="eastAsia" w:ascii="宋体" w:hAnsi="宋体" w:cs="宋体"/>
          <w:sz w:val="24"/>
          <w:szCs w:val="24"/>
        </w:rPr>
        <w:t>本项目不接受负偏离。</w:t>
      </w:r>
    </w:p>
    <w:p>
      <w:pPr>
        <w:pStyle w:val="5"/>
        <w:spacing w:before="0" w:after="0"/>
        <w:rPr>
          <w:sz w:val="24"/>
          <w:szCs w:val="24"/>
        </w:rPr>
      </w:pPr>
      <w:r>
        <w:rPr>
          <w:rFonts w:hint="eastAsia"/>
          <w:sz w:val="24"/>
          <w:szCs w:val="24"/>
        </w:rPr>
        <w:br w:type="page"/>
      </w:r>
    </w:p>
    <w:p>
      <w:pPr>
        <w:pStyle w:val="4"/>
        <w:spacing w:before="0" w:after="0" w:line="360" w:lineRule="exact"/>
        <w:jc w:val="both"/>
        <w:rPr>
          <w:rFonts w:hint="eastAsia" w:ascii="宋体" w:hAnsi="宋体" w:eastAsia="宋体" w:cs="宋体"/>
          <w:sz w:val="24"/>
          <w:szCs w:val="24"/>
          <w:lang w:val="en-US" w:eastAsia="zh-CN"/>
        </w:rPr>
      </w:pPr>
      <w:bookmarkStart w:id="99" w:name="_Toc12917"/>
      <w:r>
        <w:rPr>
          <w:rFonts w:hint="eastAsia" w:ascii="宋体" w:hAnsi="宋体" w:eastAsia="宋体" w:cs="宋体"/>
          <w:sz w:val="24"/>
          <w:szCs w:val="24"/>
        </w:rPr>
        <w:t>附件</w:t>
      </w:r>
      <w:bookmarkEnd w:id="98"/>
      <w:r>
        <w:rPr>
          <w:rFonts w:hint="eastAsia" w:ascii="宋体" w:hAnsi="宋体" w:eastAsia="宋体" w:cs="宋体"/>
          <w:sz w:val="24"/>
          <w:szCs w:val="24"/>
        </w:rPr>
        <w:t>七</w:t>
      </w:r>
      <w:bookmarkEnd w:id="99"/>
      <w:bookmarkStart w:id="100" w:name="_Toc26763"/>
      <w:bookmarkStart w:id="101" w:name="_Toc18625"/>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承诺函</w:t>
      </w:r>
    </w:p>
    <w:p>
      <w:pPr>
        <w:pStyle w:val="4"/>
        <w:spacing w:before="0" w:after="0" w:line="360" w:lineRule="exact"/>
        <w:jc w:val="center"/>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相关服务承诺函</w:t>
      </w:r>
      <w:bookmarkEnd w:id="100"/>
      <w:bookmarkEnd w:id="101"/>
    </w:p>
    <w:tbl>
      <w:tblPr>
        <w:tblStyle w:val="35"/>
        <w:tblpPr w:leftFromText="180" w:rightFromText="180" w:vertAnchor="text" w:horzAnchor="page" w:tblpX="1092" w:tblpY="436"/>
        <w:tblOverlap w:val="never"/>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57"/>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56" w:type="dxa"/>
            <w:gridSpan w:val="2"/>
            <w:vAlign w:val="center"/>
          </w:tcPr>
          <w:p>
            <w:pPr>
              <w:spacing w:line="360" w:lineRule="exact"/>
              <w:rPr>
                <w:rFonts w:ascii="仿宋" w:hAnsi="仿宋" w:eastAsia="仿宋" w:cs="仿宋"/>
                <w:sz w:val="24"/>
              </w:rPr>
            </w:pPr>
            <w:bookmarkStart w:id="102" w:name="_Toc3177"/>
            <w:r>
              <w:rPr>
                <w:rFonts w:hint="eastAsia" w:ascii="仿宋" w:hAnsi="仿宋" w:eastAsia="仿宋" w:cs="仿宋"/>
                <w:sz w:val="24"/>
              </w:rPr>
              <w:t>项目名称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lang w:val="en-US" w:eastAsia="zh-CN"/>
              </w:rPr>
              <w:t>采购</w:t>
            </w:r>
            <w:r>
              <w:rPr>
                <w:rFonts w:hint="eastAsia" w:ascii="仿宋" w:hAnsi="仿宋" w:eastAsia="仿宋" w:cs="仿宋"/>
                <w:sz w:val="24"/>
              </w:rPr>
              <w:t>单位</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rPr>
              <w:t>企业名称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664" w:type="dxa"/>
            <w:gridSpan w:val="3"/>
          </w:tcPr>
          <w:p>
            <w:pPr>
              <w:spacing w:line="360" w:lineRule="exact"/>
              <w:ind w:firstLine="480" w:firstLineChars="200"/>
              <w:rPr>
                <w:rFonts w:ascii="仿宋" w:hAnsi="仿宋" w:eastAsia="仿宋" w:cs="仿宋"/>
                <w:sz w:val="24"/>
              </w:rPr>
            </w:pPr>
            <w:r>
              <w:rPr>
                <w:rFonts w:hint="eastAsia" w:ascii="仿宋" w:hAnsi="仿宋" w:eastAsia="仿宋" w:cs="仿宋"/>
                <w:sz w:val="24"/>
              </w:rPr>
              <w:t>我方已仔细研究了本项目</w:t>
            </w:r>
            <w:r>
              <w:rPr>
                <w:rFonts w:hint="eastAsia" w:ascii="仿宋" w:hAnsi="仿宋" w:eastAsia="仿宋" w:cs="仿宋"/>
                <w:sz w:val="24"/>
                <w:lang w:eastAsia="zh-CN"/>
              </w:rPr>
              <w:t>谈判文件</w:t>
            </w:r>
            <w:r>
              <w:rPr>
                <w:rFonts w:hint="eastAsia" w:ascii="仿宋" w:hAnsi="仿宋" w:eastAsia="仿宋" w:cs="仿宋"/>
                <w:sz w:val="24"/>
              </w:rPr>
              <w:t>的全部内容（含图纸、工程量清单、预算价、合同条款等），项目成交后，若有转包、违法分包以及未按</w:t>
            </w:r>
            <w:r>
              <w:rPr>
                <w:rFonts w:hint="eastAsia" w:ascii="仿宋" w:hAnsi="仿宋" w:eastAsia="仿宋" w:cs="仿宋"/>
                <w:sz w:val="24"/>
                <w:lang w:eastAsia="zh-CN"/>
              </w:rPr>
              <w:t>谈判文件</w:t>
            </w:r>
            <w:r>
              <w:rPr>
                <w:rFonts w:hint="eastAsia" w:ascii="仿宋" w:hAnsi="仿宋" w:eastAsia="仿宋" w:cs="仿宋"/>
                <w:sz w:val="24"/>
              </w:rPr>
              <w:t>、成交文件、合同等履约的违法违规行为，将自愿接受</w:t>
            </w:r>
            <w:r>
              <w:rPr>
                <w:rFonts w:hint="eastAsia" w:ascii="仿宋" w:hAnsi="仿宋" w:eastAsia="仿宋" w:cs="仿宋"/>
                <w:sz w:val="24"/>
                <w:lang w:val="en-US" w:eastAsia="zh-CN"/>
              </w:rPr>
              <w:t>采购</w:t>
            </w:r>
            <w:r>
              <w:rPr>
                <w:rFonts w:hint="eastAsia" w:ascii="仿宋" w:hAnsi="仿宋" w:eastAsia="仿宋" w:cs="仿宋"/>
                <w:sz w:val="24"/>
              </w:rPr>
              <w:t>人按规定给予的处理。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399" w:type="dxa"/>
            <w:vAlign w:val="center"/>
          </w:tcPr>
          <w:p>
            <w:pPr>
              <w:spacing w:line="360" w:lineRule="exact"/>
              <w:rPr>
                <w:rFonts w:ascii="仿宋" w:hAnsi="仿宋" w:eastAsia="仿宋" w:cs="仿宋"/>
                <w:sz w:val="24"/>
              </w:rPr>
            </w:pPr>
            <w:r>
              <w:rPr>
                <w:rFonts w:hint="eastAsia" w:ascii="仿宋" w:hAnsi="仿宋" w:eastAsia="仿宋" w:cs="仿宋"/>
                <w:sz w:val="24"/>
              </w:rPr>
              <w:t>备 注</w:t>
            </w:r>
          </w:p>
        </w:tc>
        <w:tc>
          <w:tcPr>
            <w:tcW w:w="7265" w:type="dxa"/>
            <w:gridSpan w:val="2"/>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9664" w:type="dxa"/>
            <w:gridSpan w:val="3"/>
            <w:vAlign w:val="center"/>
          </w:tcPr>
          <w:p>
            <w:pPr>
              <w:pStyle w:val="33"/>
              <w:spacing w:line="360" w:lineRule="exact"/>
              <w:ind w:right="63" w:rightChars="30" w:firstLine="0"/>
            </w:pPr>
            <w:r>
              <w:rPr>
                <w:rFonts w:hint="eastAsia"/>
                <w:b/>
                <w:bCs/>
              </w:rPr>
              <w:t>上述是我单位承诺的相关内容，若有弄虚作假，并承诺愿意承担因我方就此弄虚作假所引起的一切法律后果，愿意接受发包人给予取消成交资格、记不良行为记录等处理。</w:t>
            </w:r>
          </w:p>
          <w:p>
            <w:pPr>
              <w:spacing w:line="360" w:lineRule="exact"/>
              <w:jc w:val="center"/>
            </w:pPr>
            <w:r>
              <w:rPr>
                <w:rFonts w:hint="eastAsia"/>
              </w:rPr>
              <w:t xml:space="preserve">                     供应商（盖章）：           </w:t>
            </w:r>
          </w:p>
          <w:p>
            <w:pPr>
              <w:spacing w:line="360" w:lineRule="exact"/>
              <w:ind w:firstLine="4410" w:firstLineChars="2100"/>
            </w:pPr>
            <w:r>
              <w:rPr>
                <w:rFonts w:hint="eastAsia"/>
              </w:rPr>
              <w:t>供应商法定代表人（签名）：</w:t>
            </w:r>
          </w:p>
          <w:p>
            <w:pPr>
              <w:pStyle w:val="54"/>
              <w:wordWrap w:val="0"/>
              <w:spacing w:line="360" w:lineRule="exact"/>
              <w:ind w:firstLine="480"/>
              <w:jc w:val="center"/>
            </w:pPr>
            <w:r>
              <w:rPr>
                <w:rFonts w:hint="eastAsia" w:ascii="仿宋" w:hAnsi="仿宋" w:eastAsia="仿宋" w:cs="仿宋"/>
                <w:sz w:val="24"/>
                <w:szCs w:val="24"/>
              </w:rPr>
              <w:t xml:space="preserve">                                     日      期：                         </w:t>
            </w:r>
          </w:p>
        </w:tc>
      </w:tr>
    </w:tbl>
    <w:p>
      <w:pPr>
        <w:spacing w:line="360" w:lineRule="auto"/>
        <w:jc w:val="center"/>
        <w:rPr>
          <w:rFonts w:hint="eastAsia"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二</w:t>
      </w:r>
      <w:r>
        <w:rPr>
          <w:rFonts w:hint="eastAsia" w:ascii="宋体" w:hAnsi="宋体"/>
          <w:b/>
          <w:color w:val="auto"/>
          <w:sz w:val="28"/>
          <w:szCs w:val="28"/>
          <w:lang w:eastAsia="zh-CN"/>
        </w:rPr>
        <w:t>）</w:t>
      </w:r>
      <w:r>
        <w:rPr>
          <w:rFonts w:hint="eastAsia" w:ascii="宋体" w:hAnsi="宋体"/>
          <w:b/>
          <w:color w:val="auto"/>
          <w:sz w:val="28"/>
          <w:szCs w:val="28"/>
        </w:rPr>
        <w:t>无在建承诺函</w:t>
      </w:r>
    </w:p>
    <w:p>
      <w:pPr>
        <w:widowControl/>
        <w:adjustRightInd w:val="0"/>
        <w:snapToGrid w:val="0"/>
        <w:spacing w:line="5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致：</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我单位参加你方</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项目编号为（项目编号）的（</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项目名称）项目的</w:t>
      </w:r>
      <w:r>
        <w:rPr>
          <w:rFonts w:hint="eastAsia" w:ascii="宋体" w:hAnsi="宋体" w:cs="宋体"/>
          <w:color w:val="auto"/>
          <w:kern w:val="0"/>
          <w:szCs w:val="21"/>
          <w:lang w:val="en-US" w:eastAsia="zh-CN"/>
        </w:rPr>
        <w:t>采购</w:t>
      </w:r>
      <w:r>
        <w:rPr>
          <w:rFonts w:hint="eastAsia" w:ascii="宋体" w:hAnsi="宋体" w:cs="宋体"/>
          <w:color w:val="auto"/>
          <w:kern w:val="0"/>
          <w:szCs w:val="21"/>
        </w:rPr>
        <w:t>活动，现郑重承诺如下：</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我单位</w:t>
      </w:r>
      <w:r>
        <w:rPr>
          <w:rFonts w:hint="eastAsia" w:ascii="宋体" w:hAnsi="宋体" w:cs="宋体"/>
          <w:color w:val="auto"/>
          <w:kern w:val="0"/>
          <w:szCs w:val="21"/>
          <w:lang w:val="en-US" w:eastAsia="zh-CN"/>
        </w:rPr>
        <w:t>响应</w:t>
      </w:r>
      <w:r>
        <w:rPr>
          <w:rFonts w:hint="eastAsia" w:ascii="宋体" w:hAnsi="宋体" w:cs="宋体"/>
          <w:color w:val="auto"/>
          <w:kern w:val="0"/>
          <w:szCs w:val="21"/>
        </w:rPr>
        <w:t>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参与本项目</w:t>
      </w:r>
      <w:r>
        <w:rPr>
          <w:rFonts w:hint="eastAsia" w:ascii="宋体" w:hAnsi="宋体" w:cs="宋体"/>
          <w:color w:val="auto"/>
          <w:kern w:val="0"/>
          <w:szCs w:val="21"/>
          <w:lang w:val="en-US" w:eastAsia="zh-CN"/>
        </w:rPr>
        <w:t>响应</w:t>
      </w:r>
      <w:r>
        <w:rPr>
          <w:rFonts w:hint="eastAsia" w:ascii="宋体" w:hAnsi="宋体" w:cs="宋体"/>
          <w:color w:val="auto"/>
          <w:kern w:val="0"/>
          <w:szCs w:val="21"/>
        </w:rPr>
        <w:t>之前无在建工程（含已成交的待建工程）或已按照相关法律法规办理了有效的项目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变更手续，如发现有在建工程（含已成交的待建工程）经查证属实即构成以虚假信息（事实）</w:t>
      </w:r>
      <w:r>
        <w:rPr>
          <w:rFonts w:hint="eastAsia" w:ascii="宋体" w:hAnsi="宋体" w:cs="宋体"/>
          <w:color w:val="auto"/>
          <w:kern w:val="0"/>
          <w:szCs w:val="21"/>
          <w:lang w:val="en-US" w:eastAsia="zh-CN"/>
        </w:rPr>
        <w:t>响应</w:t>
      </w:r>
      <w:r>
        <w:rPr>
          <w:rFonts w:hint="eastAsia" w:ascii="宋体" w:hAnsi="宋体" w:cs="宋体"/>
          <w:color w:val="auto"/>
          <w:kern w:val="0"/>
          <w:szCs w:val="21"/>
        </w:rPr>
        <w:t>，我单位自愿接受</w:t>
      </w:r>
      <w:r>
        <w:rPr>
          <w:rFonts w:hint="eastAsia" w:ascii="宋体" w:hAnsi="宋体" w:cs="宋体"/>
          <w:color w:val="auto"/>
          <w:kern w:val="0"/>
          <w:szCs w:val="21"/>
          <w:lang w:val="en-US" w:eastAsia="zh-CN"/>
        </w:rPr>
        <w:t>采购</w:t>
      </w:r>
      <w:r>
        <w:rPr>
          <w:rFonts w:hint="eastAsia" w:ascii="宋体" w:hAnsi="宋体" w:cs="宋体"/>
          <w:color w:val="auto"/>
          <w:kern w:val="0"/>
          <w:szCs w:val="21"/>
        </w:rPr>
        <w:t>人及公共资源交易监督管理部门按照</w:t>
      </w:r>
      <w:r>
        <w:rPr>
          <w:rFonts w:hint="eastAsia" w:ascii="宋体" w:hAnsi="宋体" w:cs="宋体"/>
          <w:color w:val="auto"/>
          <w:kern w:val="0"/>
          <w:szCs w:val="21"/>
          <w:lang w:val="en-US" w:eastAsia="zh-CN"/>
        </w:rPr>
        <w:t>相关法律法规</w:t>
      </w:r>
      <w:r>
        <w:rPr>
          <w:rFonts w:hint="eastAsia" w:ascii="宋体" w:hAnsi="宋体" w:cs="宋体"/>
          <w:color w:val="auto"/>
          <w:kern w:val="0"/>
          <w:szCs w:val="21"/>
        </w:rPr>
        <w:t>给予的处理，包括成交无效，赔偿</w:t>
      </w:r>
      <w:r>
        <w:rPr>
          <w:rFonts w:hint="eastAsia" w:ascii="宋体" w:hAnsi="宋体" w:cs="宋体"/>
          <w:color w:val="auto"/>
          <w:kern w:val="0"/>
          <w:szCs w:val="21"/>
          <w:lang w:val="en-US" w:eastAsia="zh-CN"/>
        </w:rPr>
        <w:t>采购</w:t>
      </w:r>
      <w:r>
        <w:rPr>
          <w:rFonts w:hint="eastAsia" w:ascii="宋体" w:hAnsi="宋体" w:cs="宋体"/>
          <w:color w:val="auto"/>
          <w:kern w:val="0"/>
          <w:szCs w:val="21"/>
        </w:rPr>
        <w:t>人损失，接受罚款以及</w:t>
      </w:r>
      <w:r>
        <w:rPr>
          <w:rFonts w:hint="eastAsia" w:ascii="宋体" w:hAnsi="宋体" w:cs="宋体"/>
          <w:color w:val="auto"/>
          <w:kern w:val="0"/>
          <w:szCs w:val="21"/>
          <w:lang w:val="en-US" w:eastAsia="zh-CN"/>
        </w:rPr>
        <w:t>成交</w:t>
      </w:r>
      <w:r>
        <w:rPr>
          <w:rFonts w:hint="eastAsia" w:ascii="宋体" w:hAnsi="宋体" w:cs="宋体"/>
          <w:color w:val="auto"/>
          <w:kern w:val="0"/>
          <w:szCs w:val="21"/>
        </w:rPr>
        <w:t>资格限制等。</w:t>
      </w:r>
    </w:p>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w:t>
      </w:r>
    </w:p>
    <w:p>
      <w:pPr>
        <w:jc w:val="center"/>
        <w:rPr>
          <w:rFonts w:hint="eastAsia" w:ascii="宋体" w:hAnsi="宋体" w:cs="宋体"/>
          <w:color w:val="auto"/>
          <w:kern w:val="0"/>
          <w:szCs w:val="21"/>
          <w:lang w:val="en-US" w:eastAsia="zh-CN"/>
        </w:rPr>
      </w:pPr>
    </w:p>
    <w:p>
      <w:pPr>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供应商（盖章）：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p>
    <w:p>
      <w:pPr>
        <w:jc w:val="center"/>
        <w:rPr>
          <w:rFonts w:hint="eastAsia" w:ascii="宋体" w:hAnsi="宋体" w:cs="宋体"/>
          <w:color w:val="auto"/>
          <w:kern w:val="0"/>
          <w:szCs w:val="21"/>
        </w:rPr>
      </w:pPr>
      <w:r>
        <w:rPr>
          <w:rFonts w:hint="eastAsia" w:ascii="宋体" w:hAnsi="宋体" w:cs="宋体"/>
          <w:color w:val="auto"/>
          <w:kern w:val="0"/>
          <w:szCs w:val="21"/>
        </w:rPr>
        <w:t>供应商法定代表人（签名）：</w:t>
      </w:r>
    </w:p>
    <w:p>
      <w:pPr>
        <w:ind w:firstLine="4620" w:firstLineChars="2200"/>
        <w:jc w:val="both"/>
        <w:rPr>
          <w:rFonts w:hint="eastAsia" w:ascii="宋体" w:hAnsi="宋体" w:cs="宋体"/>
          <w:color w:val="auto"/>
          <w:kern w:val="0"/>
          <w:szCs w:val="21"/>
        </w:rPr>
      </w:pPr>
      <w:r>
        <w:rPr>
          <w:rFonts w:hint="eastAsia" w:ascii="宋体" w:hAnsi="宋体" w:cs="宋体"/>
          <w:color w:val="auto"/>
          <w:kern w:val="0"/>
          <w:szCs w:val="21"/>
        </w:rPr>
        <w:t xml:space="preserve">日      期： </w:t>
      </w:r>
    </w:p>
    <w:p>
      <w:pPr>
        <w:ind w:firstLine="4620" w:firstLineChars="2200"/>
        <w:jc w:val="both"/>
        <w:rPr>
          <w:rFonts w:hint="eastAsia" w:ascii="宋体" w:hAnsi="宋体" w:cs="宋体"/>
          <w:color w:val="auto"/>
          <w:kern w:val="0"/>
          <w:szCs w:val="21"/>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eastAsia="宋体" w:cs="宋体"/>
          <w:b/>
          <w:kern w:val="0"/>
          <w:sz w:val="24"/>
          <w:szCs w:val="24"/>
          <w:lang w:val="en-US" w:eastAsia="zh-CN" w:bidi="ar-SA"/>
        </w:rPr>
      </w:pPr>
      <w:bookmarkStart w:id="103" w:name="_Toc3426"/>
    </w:p>
    <w:p>
      <w:pPr>
        <w:numPr>
          <w:ilvl w:val="0"/>
          <w:numId w:val="0"/>
        </w:numPr>
        <w:jc w:val="both"/>
        <w:rPr>
          <w:rFonts w:hint="eastAsia" w:ascii="宋体" w:hAnsi="宋体" w:eastAsia="宋体" w:cs="宋体"/>
          <w:b/>
          <w:kern w:val="0"/>
          <w:sz w:val="24"/>
          <w:szCs w:val="24"/>
          <w:lang w:val="en-US" w:eastAsia="zh-CN" w:bidi="ar-SA"/>
        </w:rPr>
      </w:pPr>
    </w:p>
    <w:p>
      <w:pPr>
        <w:numPr>
          <w:ilvl w:val="0"/>
          <w:numId w:val="0"/>
        </w:numPr>
        <w:jc w:val="both"/>
        <w:rPr>
          <w:rFonts w:hint="eastAsia" w:ascii="宋体" w:hAnsi="宋体" w:eastAsia="宋体" w:cs="宋体"/>
          <w:b/>
          <w:kern w:val="0"/>
          <w:sz w:val="24"/>
          <w:szCs w:val="24"/>
          <w:lang w:val="en-US" w:eastAsia="zh-CN" w:bidi="ar-SA"/>
        </w:rPr>
      </w:pP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kern w:val="0"/>
          <w:sz w:val="24"/>
          <w:szCs w:val="24"/>
          <w:lang w:val="en-US" w:eastAsia="zh-CN" w:bidi="ar-SA"/>
        </w:rPr>
        <w:t>附件八</w:t>
      </w:r>
      <w:bookmarkEnd w:id="103"/>
      <w:r>
        <w:rPr>
          <w:rFonts w:hint="eastAsia" w:ascii="宋体" w:hAnsi="宋体" w:eastAsia="宋体" w:cs="宋体"/>
          <w:b/>
          <w:kern w:val="0"/>
          <w:sz w:val="24"/>
          <w:szCs w:val="24"/>
          <w:lang w:val="en-US" w:eastAsia="zh-CN" w:bidi="ar-SA"/>
        </w:rPr>
        <w:t xml:space="preserve"> </w:t>
      </w:r>
      <w:r>
        <w:rPr>
          <w:rFonts w:hint="eastAsia" w:ascii="宋体" w:hAnsi="宋体" w:eastAsia="宋体" w:cs="宋体"/>
          <w:sz w:val="24"/>
          <w:szCs w:val="24"/>
          <w:lang w:val="en-US" w:eastAsia="zh-CN"/>
        </w:rPr>
        <w:t xml:space="preserve"> </w:t>
      </w:r>
    </w:p>
    <w:p>
      <w:pPr>
        <w:jc w:val="center"/>
        <w:rPr>
          <w:rFonts w:ascii="宋体" w:hAnsi="宋体"/>
          <w:sz w:val="24"/>
          <w:szCs w:val="24"/>
        </w:rPr>
      </w:pPr>
      <w:bookmarkStart w:id="104" w:name="_Toc28850"/>
      <w:bookmarkStart w:id="105" w:name="_Toc19723"/>
      <w:r>
        <w:rPr>
          <w:rFonts w:hint="eastAsia" w:ascii="宋体" w:hAnsi="宋体" w:eastAsia="宋体" w:cs="宋体"/>
          <w:b w:val="0"/>
          <w:bCs/>
          <w:sz w:val="24"/>
          <w:szCs w:val="24"/>
        </w:rPr>
        <w:t>谈判文件要求和供应商认为需要提供的其它说明和资料</w:t>
      </w:r>
      <w:bookmarkEnd w:id="104"/>
      <w:bookmarkEnd w:id="105"/>
    </w:p>
    <w:p>
      <w:pPr>
        <w:rPr>
          <w:rFonts w:hint="default"/>
          <w:lang w:val="en-US" w:eastAsia="zh-CN"/>
        </w:rPr>
      </w:pPr>
    </w:p>
    <w:bookmarkEnd w:id="102"/>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bookmarkStart w:id="106" w:name="_Toc23763"/>
      <w:bookmarkStart w:id="107" w:name="_Toc5314"/>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4"/>
        <w:spacing w:before="0" w:after="0" w:line="560" w:lineRule="exact"/>
        <w:rPr>
          <w:rStyle w:val="114"/>
          <w:rFonts w:ascii="宋体" w:hAnsi="宋体" w:eastAsia="宋体" w:cs="宋体"/>
          <w:b/>
          <w:sz w:val="24"/>
          <w:szCs w:val="24"/>
        </w:rPr>
      </w:pPr>
      <w:r>
        <w:rPr>
          <w:rFonts w:hint="eastAsia" w:ascii="宋体" w:hAnsi="宋体" w:eastAsia="宋体" w:cs="宋体"/>
          <w:sz w:val="24"/>
          <w:szCs w:val="24"/>
        </w:rPr>
        <w:t>附件九</w:t>
      </w:r>
      <w:bookmarkEnd w:id="106"/>
      <w:bookmarkEnd w:id="107"/>
      <w:r>
        <w:rPr>
          <w:rFonts w:hint="eastAsia" w:ascii="宋体" w:hAnsi="宋体" w:eastAsia="宋体" w:cs="宋体"/>
          <w:sz w:val="24"/>
          <w:szCs w:val="24"/>
          <w:lang w:val="en-US" w:eastAsia="zh-CN"/>
        </w:rPr>
        <w:t xml:space="preserve">                      </w:t>
      </w:r>
    </w:p>
    <w:p>
      <w:pPr>
        <w:spacing w:line="440" w:lineRule="exact"/>
        <w:jc w:val="center"/>
        <w:rPr>
          <w:rFonts w:hint="eastAsia" w:ascii="宋体" w:hAnsi="宋体"/>
          <w:b/>
          <w:color w:val="auto"/>
          <w:sz w:val="28"/>
          <w:szCs w:val="28"/>
        </w:rPr>
      </w:pPr>
      <w:r>
        <w:rPr>
          <w:rFonts w:hint="eastAsia" w:ascii="宋体" w:hAnsi="宋体"/>
          <w:b/>
          <w:color w:val="auto"/>
          <w:sz w:val="28"/>
          <w:szCs w:val="28"/>
        </w:rPr>
        <w:t>最终承包报价书</w:t>
      </w:r>
    </w:p>
    <w:p>
      <w:pPr>
        <w:widowControl w:val="0"/>
        <w:tabs>
          <w:tab w:val="left" w:pos="1663"/>
        </w:tabs>
        <w:autoSpaceDE w:val="0"/>
        <w:autoSpaceDN w:val="0"/>
        <w:spacing w:before="0" w:after="0" w:line="240" w:lineRule="auto"/>
        <w:ind w:left="96" w:right="0"/>
        <w:jc w:val="center"/>
        <w:outlineLvl w:val="3"/>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（某项目第</w:t>
      </w:r>
      <w:r>
        <w:rPr>
          <w:rFonts w:ascii="宋体" w:hAnsi="宋体" w:eastAsia="宋体" w:cs="宋体"/>
          <w:b w:val="0"/>
          <w:bCs w:val="0"/>
          <w:sz w:val="24"/>
          <w:szCs w:val="24"/>
          <w:u w:val="single"/>
          <w:lang w:val="zh-CN" w:eastAsia="zh-CN" w:bidi="zh-CN"/>
        </w:rPr>
        <w:t xml:space="preserve"> </w:t>
      </w:r>
      <w:r>
        <w:rPr>
          <w:rFonts w:ascii="宋体" w:hAnsi="宋体" w:eastAsia="宋体" w:cs="宋体"/>
          <w:b w:val="0"/>
          <w:bCs w:val="0"/>
          <w:sz w:val="24"/>
          <w:szCs w:val="24"/>
          <w:u w:val="single"/>
          <w:lang w:val="zh-CN" w:eastAsia="zh-CN" w:bidi="zh-CN"/>
        </w:rPr>
        <w:tab/>
      </w:r>
      <w:r>
        <w:rPr>
          <w:rFonts w:ascii="宋体" w:hAnsi="宋体" w:eastAsia="宋体" w:cs="宋体"/>
          <w:b w:val="0"/>
          <w:bCs w:val="0"/>
          <w:sz w:val="24"/>
          <w:szCs w:val="24"/>
          <w:lang w:val="zh-CN" w:eastAsia="zh-CN" w:bidi="zh-CN"/>
        </w:rPr>
        <w:t>次报价书）</w:t>
      </w:r>
    </w:p>
    <w:p>
      <w:pPr>
        <w:widowControl w:val="0"/>
        <w:autoSpaceDE w:val="0"/>
        <w:autoSpaceDN w:val="0"/>
        <w:spacing w:before="9" w:after="0" w:line="240" w:lineRule="auto"/>
        <w:ind w:left="0" w:right="0"/>
        <w:jc w:val="left"/>
        <w:rPr>
          <w:rFonts w:ascii="宋体" w:hAnsi="宋体" w:eastAsia="宋体" w:cs="宋体"/>
          <w:b/>
          <w:sz w:val="12"/>
          <w:szCs w:val="24"/>
          <w:lang w:val="zh-CN" w:eastAsia="zh-CN" w:bidi="zh-CN"/>
        </w:rPr>
      </w:pP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u w:val="single"/>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autoSpaceDE w:val="0"/>
        <w:autoSpaceDN w:val="0"/>
        <w:spacing w:before="1" w:after="1" w:line="240" w:lineRule="auto"/>
        <w:ind w:left="0" w:right="0"/>
        <w:jc w:val="left"/>
        <w:rPr>
          <w:rFonts w:ascii="宋体" w:hAnsi="宋体" w:eastAsia="宋体" w:cs="宋体"/>
          <w:b/>
          <w:sz w:val="12"/>
          <w:szCs w:val="24"/>
          <w:lang w:val="zh-CN" w:eastAsia="zh-CN" w:bidi="zh-CN"/>
        </w:rPr>
      </w:pPr>
    </w:p>
    <w:tbl>
      <w:tblPr>
        <w:tblStyle w:val="35"/>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6" w:hRule="atLeast"/>
        </w:trPr>
        <w:tc>
          <w:tcPr>
            <w:tcW w:w="2461" w:type="dxa"/>
            <w:noWrap w:val="0"/>
            <w:vAlign w:val="top"/>
          </w:tcPr>
          <w:p>
            <w:pPr>
              <w:keepNext w:val="0"/>
              <w:keepLines w:val="0"/>
              <w:widowControl w:val="0"/>
              <w:suppressLineNumbers w:val="0"/>
              <w:autoSpaceDE w:val="0"/>
              <w:autoSpaceDN w:val="0"/>
              <w:spacing w:before="177"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供应商名称</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5" w:right="237"/>
              <w:jc w:val="center"/>
              <w:rPr>
                <w:rFonts w:hint="default" w:ascii="宋体" w:hAnsi="宋体" w:eastAsia="宋体" w:cs="宋体"/>
                <w:b/>
                <w:sz w:val="24"/>
                <w:szCs w:val="22"/>
                <w:lang w:val="zh-CN" w:eastAsia="zh-CN" w:bidi="zh-CN"/>
              </w:rPr>
            </w:pPr>
            <w:r>
              <w:rPr>
                <w:rFonts w:hint="eastAsia" w:ascii="宋体" w:hAnsi="宋体" w:cs="宋体"/>
                <w:b/>
                <w:sz w:val="24"/>
                <w:szCs w:val="22"/>
                <w:lang w:val="en-US" w:eastAsia="zh-CN" w:bidi="zh-CN"/>
              </w:rPr>
              <w:t>谈判</w:t>
            </w:r>
            <w:r>
              <w:rPr>
                <w:rFonts w:hint="default" w:ascii="宋体" w:hAnsi="宋体" w:eastAsia="宋体" w:cs="宋体"/>
                <w:b/>
                <w:sz w:val="24"/>
                <w:szCs w:val="22"/>
                <w:lang w:val="zh-CN" w:eastAsia="zh-CN" w:bidi="zh-CN"/>
              </w:rPr>
              <w:t>范围</w:t>
            </w:r>
          </w:p>
        </w:tc>
        <w:tc>
          <w:tcPr>
            <w:tcW w:w="6064"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tabs>
                <w:tab w:val="left" w:pos="1547"/>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全部 / 第</w:t>
            </w:r>
            <w:r>
              <w:rPr>
                <w:rFonts w:hint="default" w:ascii="宋体" w:hAnsi="宋体" w:eastAsia="宋体" w:cs="宋体"/>
                <w:sz w:val="24"/>
                <w:szCs w:val="22"/>
                <w:u w:val="single"/>
                <w:lang w:val="zh-CN" w:eastAsia="zh-CN" w:bidi="zh-CN"/>
              </w:rPr>
              <w:t xml:space="preserve"> </w:t>
            </w:r>
            <w:r>
              <w:rPr>
                <w:rFonts w:hint="default" w:ascii="宋体" w:hAnsi="宋体" w:eastAsia="宋体" w:cs="宋体"/>
                <w:sz w:val="24"/>
                <w:szCs w:val="22"/>
                <w:u w:val="single"/>
                <w:lang w:val="zh-CN" w:eastAsia="zh-CN" w:bidi="zh-CN"/>
              </w:rPr>
              <w:tab/>
            </w:r>
            <w:r>
              <w:rPr>
                <w:rFonts w:hint="default" w:ascii="宋体" w:hAnsi="宋体" w:eastAsia="宋体" w:cs="宋体"/>
                <w:sz w:val="24"/>
                <w:szCs w:val="22"/>
                <w:lang w:val="zh-CN" w:eastAsia="zh-CN" w:bidi="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1" w:hRule="atLeast"/>
        </w:trPr>
        <w:tc>
          <w:tcPr>
            <w:tcW w:w="2461" w:type="dxa"/>
            <w:noWrap w:val="0"/>
            <w:vAlign w:val="top"/>
          </w:tcPr>
          <w:p>
            <w:pPr>
              <w:keepNext w:val="0"/>
              <w:keepLines w:val="0"/>
              <w:widowControl w:val="0"/>
              <w:suppressLineNumbers w:val="0"/>
              <w:autoSpaceDE w:val="0"/>
              <w:autoSpaceDN w:val="0"/>
              <w:spacing w:before="7" w:beforeAutospacing="0" w:after="0" w:afterAutospacing="0" w:line="240" w:lineRule="auto"/>
              <w:ind w:left="0" w:right="0"/>
              <w:jc w:val="left"/>
              <w:rPr>
                <w:rFonts w:hint="default" w:ascii="宋体" w:hAnsi="宋体" w:eastAsia="宋体" w:cs="宋体"/>
                <w:b/>
                <w:sz w:val="35"/>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最后报价</w:t>
            </w:r>
          </w:p>
          <w:p>
            <w:pPr>
              <w:keepNext w:val="0"/>
              <w:keepLines w:val="0"/>
              <w:widowControl w:val="0"/>
              <w:suppressLineNumbers w:val="0"/>
              <w:autoSpaceDE w:val="0"/>
              <w:autoSpaceDN w:val="0"/>
              <w:spacing w:before="161" w:beforeAutospacing="0" w:after="0" w:afterAutospacing="0" w:line="240" w:lineRule="auto"/>
              <w:ind w:left="245"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（详见备注说明）</w:t>
            </w:r>
          </w:p>
        </w:tc>
        <w:tc>
          <w:tcPr>
            <w:tcW w:w="6064" w:type="dxa"/>
            <w:noWrap w:val="0"/>
            <w:vAlign w:val="top"/>
          </w:tcPr>
          <w:p>
            <w:pPr>
              <w:keepNext w:val="0"/>
              <w:keepLines w:val="0"/>
              <w:widowControl w:val="0"/>
              <w:suppressLineNumbers w:val="0"/>
              <w:autoSpaceDE w:val="0"/>
              <w:autoSpaceDN w:val="0"/>
              <w:spacing w:before="9" w:beforeAutospacing="0" w:after="0" w:afterAutospacing="0" w:line="240" w:lineRule="auto"/>
              <w:ind w:left="0" w:right="0"/>
              <w:jc w:val="left"/>
              <w:rPr>
                <w:rFonts w:hint="default" w:ascii="宋体" w:hAnsi="宋体" w:eastAsia="宋体" w:cs="宋体"/>
                <w:b/>
                <w:sz w:val="21"/>
                <w:szCs w:val="22"/>
                <w:lang w:val="zh-CN" w:eastAsia="zh-CN" w:bidi="zh-CN"/>
              </w:rPr>
            </w:pP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Times New Roman" w:hAnsi="宋体" w:eastAsia="Times New Roman" w:cs="宋体"/>
                <w:sz w:val="24"/>
                <w:szCs w:val="22"/>
                <w:lang w:val="zh-CN" w:eastAsia="zh-CN" w:bidi="zh-CN"/>
              </w:rPr>
            </w:pPr>
            <w:r>
              <w:rPr>
                <w:rFonts w:hint="default" w:ascii="宋体" w:hAnsi="宋体" w:eastAsia="宋体" w:cs="宋体"/>
                <w:sz w:val="24"/>
                <w:szCs w:val="22"/>
                <w:lang w:val="zh-CN" w:eastAsia="zh-CN" w:bidi="zh-CN"/>
              </w:rPr>
              <w:t>人民币大写</w:t>
            </w:r>
            <w:r>
              <w:rPr>
                <w:rFonts w:hint="eastAsia" w:ascii="宋体" w:hAnsi="宋体" w:cs="宋体"/>
                <w:sz w:val="24"/>
                <w:szCs w:val="22"/>
                <w:lang w:val="zh-CN" w:eastAsia="zh-CN" w:bidi="zh-CN"/>
              </w:rPr>
              <w:t>（</w:t>
            </w:r>
            <w:r>
              <w:rPr>
                <w:rFonts w:hint="eastAsia" w:ascii="宋体" w:hAnsi="宋体" w:cs="宋体"/>
                <w:sz w:val="24"/>
                <w:szCs w:val="22"/>
                <w:lang w:val="en-US" w:eastAsia="zh-CN" w:bidi="zh-CN"/>
              </w:rPr>
              <w:t>小写</w:t>
            </w:r>
            <w:r>
              <w:rPr>
                <w:rFonts w:hint="eastAsia" w:ascii="宋体" w:hAnsi="宋体" w:cs="宋体"/>
                <w:sz w:val="24"/>
                <w:szCs w:val="22"/>
                <w:lang w:val="zh-CN" w:eastAsia="zh-CN" w:bidi="zh-CN"/>
              </w:rPr>
              <w:t>）</w:t>
            </w:r>
            <w:r>
              <w:rPr>
                <w:rFonts w:hint="default" w:ascii="宋体" w:hAnsi="宋体" w:eastAsia="宋体" w:cs="宋体"/>
                <w:sz w:val="24"/>
                <w:szCs w:val="22"/>
                <w:lang w:val="zh-CN" w:eastAsia="zh-CN" w:bidi="zh-CN"/>
              </w:rPr>
              <w:t>：</w:t>
            </w:r>
            <w:r>
              <w:rPr>
                <w:rFonts w:hint="default" w:ascii="Times New Roman" w:hAnsi="宋体" w:eastAsia="Times New Roman" w:cs="宋体"/>
                <w:sz w:val="24"/>
                <w:szCs w:val="22"/>
                <w:u w:val="single"/>
                <w:lang w:val="zh-CN" w:eastAsia="zh-CN" w:bidi="zh-CN"/>
              </w:rPr>
              <w:t xml:space="preserve"> </w:t>
            </w:r>
            <w:r>
              <w:rPr>
                <w:rFonts w:hint="default" w:ascii="Times New Roman" w:hAnsi="宋体" w:eastAsia="Times New Roman" w:cs="宋体"/>
                <w:sz w:val="24"/>
                <w:szCs w:val="22"/>
                <w:u w:val="single"/>
                <w:lang w:val="zh-CN" w:eastAsia="zh-CN" w:bidi="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80" w:hRule="atLeast"/>
        </w:trPr>
        <w:tc>
          <w:tcPr>
            <w:tcW w:w="2461"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10" w:beforeAutospacing="0" w:after="0" w:afterAutospacing="0" w:line="240" w:lineRule="auto"/>
              <w:ind w:left="0" w:right="0"/>
              <w:jc w:val="left"/>
              <w:rPr>
                <w:rFonts w:hint="default" w:ascii="宋体" w:hAnsi="宋体" w:eastAsia="宋体" w:cs="宋体"/>
                <w:b/>
                <w:sz w:val="28"/>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备注说明</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bl>
    <w:p>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pPr>
        <w:widowControl w:val="0"/>
        <w:tabs>
          <w:tab w:val="left" w:pos="5861"/>
          <w:tab w:val="left" w:pos="8556"/>
        </w:tabs>
        <w:autoSpaceDE w:val="0"/>
        <w:autoSpaceDN w:val="0"/>
        <w:spacing w:before="160" w:after="0" w:line="240" w:lineRule="auto"/>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本页《报价表》由供应商在现场依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情况填写，请带至</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现场备填。考虑</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报价的方便，供应商在填写最终承诺报价后，（第一次报价-最终承诺报价）除以第一次报价后得出的优惠率视同为需求表中全部分项设备、工程量或服务的优惠浮动值（特定分项优惠除外）。此优惠率调整原则适用于合同内价格的计算及项目增减、变更时价格的计算。</w:t>
      </w:r>
    </w:p>
    <w:p>
      <w:pPr>
        <w:pStyle w:val="34"/>
        <w:numPr>
          <w:ilvl w:val="0"/>
          <w:numId w:val="4"/>
        </w:numPr>
        <w:ind w:left="0" w:leftChars="0" w:firstLine="0" w:firstLineChars="0"/>
        <w:rPr>
          <w:rFonts w:hint="eastAsia" w:ascii="宋体" w:hAnsi="宋体" w:eastAsia="宋体" w:cs="宋体"/>
          <w:b/>
          <w:color w:val="FF0000"/>
          <w:sz w:val="24"/>
          <w:szCs w:val="24"/>
          <w:highlight w:val="none"/>
          <w:lang w:val="en-US" w:eastAsia="zh-CN"/>
        </w:rPr>
      </w:pPr>
      <w:r>
        <w:rPr>
          <w:rFonts w:hint="eastAsia" w:ascii="宋体" w:hAnsi="宋体" w:eastAsia="宋体" w:cs="宋体"/>
          <w:b/>
          <w:color w:val="FF0000"/>
          <w:sz w:val="24"/>
          <w:szCs w:val="24"/>
          <w:highlight w:val="none"/>
        </w:rPr>
        <w:t>本《</w:t>
      </w:r>
      <w:r>
        <w:rPr>
          <w:rFonts w:hint="eastAsia" w:ascii="宋体" w:hAnsi="宋体" w:eastAsia="宋体" w:cs="宋体"/>
          <w:b/>
          <w:color w:val="FF0000"/>
          <w:sz w:val="24"/>
          <w:szCs w:val="24"/>
          <w:highlight w:val="none"/>
          <w:lang w:val="zh-CN" w:eastAsia="zh-CN"/>
        </w:rPr>
        <w:t>最终承诺报价表</w:t>
      </w:r>
      <w:r>
        <w:rPr>
          <w:rFonts w:hint="eastAsia" w:ascii="宋体" w:hAnsi="宋体" w:eastAsia="宋体" w:cs="宋体"/>
          <w:b/>
          <w:color w:val="FF0000"/>
          <w:sz w:val="24"/>
          <w:szCs w:val="24"/>
          <w:highlight w:val="none"/>
        </w:rPr>
        <w:t>》由</w:t>
      </w:r>
      <w:r>
        <w:rPr>
          <w:rFonts w:hint="eastAsia" w:ascii="宋体" w:hAnsi="宋体" w:eastAsia="宋体" w:cs="宋体"/>
          <w:b/>
          <w:color w:val="FF0000"/>
          <w:sz w:val="24"/>
          <w:szCs w:val="24"/>
          <w:highlight w:val="none"/>
          <w:lang w:eastAsia="zh-CN"/>
        </w:rPr>
        <w:t>供应商</w:t>
      </w:r>
      <w:r>
        <w:rPr>
          <w:rFonts w:hint="eastAsia" w:ascii="宋体" w:hAnsi="宋体" w:eastAsia="宋体" w:cs="宋体"/>
          <w:b/>
          <w:color w:val="FF0000"/>
          <w:sz w:val="24"/>
          <w:szCs w:val="24"/>
          <w:highlight w:val="none"/>
        </w:rPr>
        <w:t>在谈判现场依谈判情况填写（勿需装订在谈判文件内）</w:t>
      </w:r>
      <w:r>
        <w:rPr>
          <w:rFonts w:hint="eastAsia" w:ascii="宋体" w:hAnsi="宋体" w:eastAsia="宋体" w:cs="宋体"/>
          <w:b/>
          <w:color w:val="FF0000"/>
          <w:sz w:val="24"/>
          <w:szCs w:val="24"/>
          <w:highlight w:val="none"/>
          <w:lang w:val="en-US" w:eastAsia="zh-CN"/>
        </w:rPr>
        <w:t>。</w:t>
      </w:r>
    </w:p>
    <w:p>
      <w:pPr>
        <w:numPr>
          <w:ilvl w:val="0"/>
          <w:numId w:val="0"/>
        </w:numPr>
        <w:rPr>
          <w:bCs/>
        </w:rPr>
      </w:pPr>
      <w:r>
        <w:rPr>
          <w:rFonts w:hint="eastAsia" w:ascii="宋体" w:hAnsi="宋体" w:cs="宋体"/>
          <w:b/>
          <w:color w:val="FF0000"/>
          <w:kern w:val="2"/>
          <w:sz w:val="24"/>
          <w:szCs w:val="24"/>
          <w:highlight w:val="none"/>
          <w:lang w:val="en-US" w:eastAsia="zh-CN" w:bidi="ar-SA"/>
        </w:rPr>
        <w:t>3、</w:t>
      </w:r>
      <w:r>
        <w:rPr>
          <w:rFonts w:hint="eastAsia" w:ascii="宋体" w:hAnsi="宋体" w:eastAsia="宋体" w:cs="宋体"/>
          <w:b/>
          <w:color w:val="FF0000"/>
          <w:kern w:val="2"/>
          <w:sz w:val="24"/>
          <w:szCs w:val="24"/>
          <w:highlight w:val="none"/>
          <w:lang w:val="en-US" w:eastAsia="zh-CN" w:bidi="ar-SA"/>
        </w:rPr>
        <w:t>最终报价单位为元，最多保留两位小数。</w:t>
      </w:r>
    </w:p>
    <w:sectPr>
      <w:headerReference r:id="rId5" w:type="default"/>
      <w:footerReference r:id="rId7" w:type="default"/>
      <w:headerReference r:id="rId6" w:type="even"/>
      <w:footerReference r:id="rId8"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9A8BAC6-9E13-4388-8A32-5DB7B36087DE}"/>
  </w:font>
  <w:font w:name="黑体">
    <w:panose1 w:val="02010609060101010101"/>
    <w:charset w:val="86"/>
    <w:family w:val="auto"/>
    <w:pitch w:val="default"/>
    <w:sig w:usb0="800002BF" w:usb1="38CF7CFA" w:usb2="00000016" w:usb3="00000000" w:csb0="00040001" w:csb1="00000000"/>
    <w:embedRegular r:id="rId2" w:fontKey="{39F22FEA-03E1-4553-B890-77173C2760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A9680D4-2BC2-4351-BB37-34F66C8D3FED}"/>
  </w:font>
  <w:font w:name="仿宋_GB2312">
    <w:panose1 w:val="02010609030101010101"/>
    <w:charset w:val="86"/>
    <w:family w:val="auto"/>
    <w:pitch w:val="default"/>
    <w:sig w:usb0="00000001" w:usb1="080E0000" w:usb2="00000000" w:usb3="00000000" w:csb0="00040000" w:csb1="00000000"/>
    <w:embedRegular r:id="rId4" w:fontKey="{585CF333-992D-4626-AEC6-341987B9DFB4}"/>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embedRegular r:id="rId5" w:fontKey="{F331D5E3-EC1D-4A2F-89DB-C4B455E85409}"/>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6" w:fontKey="{67B3E731-533D-4A11-BBFA-6FFBF462E366}"/>
  </w:font>
  <w:font w:name="华文中宋">
    <w:panose1 w:val="02010600040101010101"/>
    <w:charset w:val="86"/>
    <w:family w:val="auto"/>
    <w:pitch w:val="default"/>
    <w:sig w:usb0="00000287" w:usb1="080F0000" w:usb2="00000000" w:usb3="00000000" w:csb0="0004009F" w:csb1="DFD70000"/>
    <w:embedRegular r:id="rId7" w:fontKey="{28DE63CC-D7B4-4FB6-9740-8FF0AEDC7C7C}"/>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30</w:t>
    </w:r>
    <w:r>
      <w:rPr>
        <w:rStyle w:val="39"/>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0"/>
      </w:pBdr>
      <w:tabs>
        <w:tab w:val="left" w:pos="8460"/>
        <w:tab w:val="left" w:pos="9180"/>
        <w:tab w:val="clear" w:pos="4153"/>
        <w:tab w:val="clear" w:pos="8306"/>
      </w:tabs>
      <w:ind w:right="360"/>
    </w:pPr>
    <w:r>
      <w:rPr>
        <w:rFonts w:hint="eastAsia"/>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pPr>
      <w:pStyle w:val="2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DB6"/>
    <w:multiLevelType w:val="singleLevel"/>
    <w:tmpl w:val="A43FBDB6"/>
    <w:lvl w:ilvl="0" w:tentative="0">
      <w:start w:val="2"/>
      <w:numFmt w:val="decimal"/>
      <w:suff w:val="nothing"/>
      <w:lvlText w:val="%1、"/>
      <w:lvlJc w:val="left"/>
    </w:lvl>
  </w:abstractNum>
  <w:abstractNum w:abstractNumId="1">
    <w:nsid w:val="CA921B7E"/>
    <w:multiLevelType w:val="singleLevel"/>
    <w:tmpl w:val="CA921B7E"/>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606AFB53"/>
    <w:multiLevelType w:val="singleLevel"/>
    <w:tmpl w:val="606AFB53"/>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0ZWMwZDI2ODU2N2M1NTI4ZDJlMzA4NmEzNTg0ZmYifQ=="/>
    <w:docVar w:name="KSO_WPS_MARK_KEY" w:val="6d5b85fa-2104-46a8-95ff-8be6d43741d3"/>
  </w:docVars>
  <w:rsids>
    <w:rsidRoot w:val="002D677B"/>
    <w:rsid w:val="0000457F"/>
    <w:rsid w:val="00004DDF"/>
    <w:rsid w:val="000145D1"/>
    <w:rsid w:val="00015C71"/>
    <w:rsid w:val="00017CF2"/>
    <w:rsid w:val="00020147"/>
    <w:rsid w:val="000353D2"/>
    <w:rsid w:val="00036C36"/>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A18"/>
    <w:rsid w:val="000D2325"/>
    <w:rsid w:val="000D40DA"/>
    <w:rsid w:val="000E6F6E"/>
    <w:rsid w:val="0010048A"/>
    <w:rsid w:val="001055FC"/>
    <w:rsid w:val="0011125F"/>
    <w:rsid w:val="001252D5"/>
    <w:rsid w:val="00125BEB"/>
    <w:rsid w:val="001260B2"/>
    <w:rsid w:val="00133776"/>
    <w:rsid w:val="00135355"/>
    <w:rsid w:val="00146758"/>
    <w:rsid w:val="00146D70"/>
    <w:rsid w:val="00156254"/>
    <w:rsid w:val="00163D99"/>
    <w:rsid w:val="001723C8"/>
    <w:rsid w:val="00184FCE"/>
    <w:rsid w:val="00185BC3"/>
    <w:rsid w:val="00194F7B"/>
    <w:rsid w:val="001A0CA9"/>
    <w:rsid w:val="001A3254"/>
    <w:rsid w:val="001A60C9"/>
    <w:rsid w:val="001B4EF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475D"/>
    <w:rsid w:val="002B7BFC"/>
    <w:rsid w:val="002C3E11"/>
    <w:rsid w:val="002D4E2E"/>
    <w:rsid w:val="002D508E"/>
    <w:rsid w:val="002D677B"/>
    <w:rsid w:val="002E1A23"/>
    <w:rsid w:val="002F32E7"/>
    <w:rsid w:val="002F3B9A"/>
    <w:rsid w:val="002F5374"/>
    <w:rsid w:val="002F5CAB"/>
    <w:rsid w:val="003124C3"/>
    <w:rsid w:val="003342EF"/>
    <w:rsid w:val="00341CB0"/>
    <w:rsid w:val="003452C5"/>
    <w:rsid w:val="00356109"/>
    <w:rsid w:val="00360D12"/>
    <w:rsid w:val="00364313"/>
    <w:rsid w:val="00372C51"/>
    <w:rsid w:val="003808D6"/>
    <w:rsid w:val="00384281"/>
    <w:rsid w:val="00387848"/>
    <w:rsid w:val="003A03AB"/>
    <w:rsid w:val="003B3183"/>
    <w:rsid w:val="003D04C4"/>
    <w:rsid w:val="003D7A8F"/>
    <w:rsid w:val="003E0B3C"/>
    <w:rsid w:val="003E7C3B"/>
    <w:rsid w:val="003F6E20"/>
    <w:rsid w:val="00424DA5"/>
    <w:rsid w:val="004413B4"/>
    <w:rsid w:val="00443BAF"/>
    <w:rsid w:val="00453F7D"/>
    <w:rsid w:val="00456571"/>
    <w:rsid w:val="004577CD"/>
    <w:rsid w:val="00466DAC"/>
    <w:rsid w:val="00470ABC"/>
    <w:rsid w:val="004835F8"/>
    <w:rsid w:val="004A0CE4"/>
    <w:rsid w:val="004C30F6"/>
    <w:rsid w:val="004C38E2"/>
    <w:rsid w:val="004C64FF"/>
    <w:rsid w:val="004D17B6"/>
    <w:rsid w:val="004D5F5D"/>
    <w:rsid w:val="004F5334"/>
    <w:rsid w:val="004F56C3"/>
    <w:rsid w:val="0050494E"/>
    <w:rsid w:val="0050639B"/>
    <w:rsid w:val="005075CD"/>
    <w:rsid w:val="00524605"/>
    <w:rsid w:val="00524A87"/>
    <w:rsid w:val="00533AAE"/>
    <w:rsid w:val="00554CE3"/>
    <w:rsid w:val="005654C3"/>
    <w:rsid w:val="005C2271"/>
    <w:rsid w:val="005D39D1"/>
    <w:rsid w:val="005E56CC"/>
    <w:rsid w:val="00600219"/>
    <w:rsid w:val="00603819"/>
    <w:rsid w:val="006128B9"/>
    <w:rsid w:val="00614518"/>
    <w:rsid w:val="00645DFC"/>
    <w:rsid w:val="00647F76"/>
    <w:rsid w:val="00654D2C"/>
    <w:rsid w:val="00661562"/>
    <w:rsid w:val="00671B50"/>
    <w:rsid w:val="00673CC0"/>
    <w:rsid w:val="006A2E5F"/>
    <w:rsid w:val="006B21E7"/>
    <w:rsid w:val="006D098B"/>
    <w:rsid w:val="006D3DB9"/>
    <w:rsid w:val="006F01D1"/>
    <w:rsid w:val="006F3D3E"/>
    <w:rsid w:val="00700B84"/>
    <w:rsid w:val="00703A7D"/>
    <w:rsid w:val="00732744"/>
    <w:rsid w:val="00736DF2"/>
    <w:rsid w:val="007400D8"/>
    <w:rsid w:val="007407E7"/>
    <w:rsid w:val="007462B9"/>
    <w:rsid w:val="00766A44"/>
    <w:rsid w:val="00767BB2"/>
    <w:rsid w:val="00777913"/>
    <w:rsid w:val="0079235B"/>
    <w:rsid w:val="00795808"/>
    <w:rsid w:val="007B00FB"/>
    <w:rsid w:val="007D19ED"/>
    <w:rsid w:val="007E5141"/>
    <w:rsid w:val="007F2582"/>
    <w:rsid w:val="007F651E"/>
    <w:rsid w:val="00810784"/>
    <w:rsid w:val="00812112"/>
    <w:rsid w:val="008207A6"/>
    <w:rsid w:val="00821EE8"/>
    <w:rsid w:val="00833ADC"/>
    <w:rsid w:val="00846353"/>
    <w:rsid w:val="008538EB"/>
    <w:rsid w:val="0086536B"/>
    <w:rsid w:val="008A6D3D"/>
    <w:rsid w:val="008B0E3B"/>
    <w:rsid w:val="008C0ED2"/>
    <w:rsid w:val="008D216E"/>
    <w:rsid w:val="008D61A5"/>
    <w:rsid w:val="008D7F56"/>
    <w:rsid w:val="008E7E3B"/>
    <w:rsid w:val="00922A63"/>
    <w:rsid w:val="00925990"/>
    <w:rsid w:val="00927B9E"/>
    <w:rsid w:val="00934FDF"/>
    <w:rsid w:val="00940C0D"/>
    <w:rsid w:val="0094320A"/>
    <w:rsid w:val="00950DC5"/>
    <w:rsid w:val="00954BF2"/>
    <w:rsid w:val="00966C14"/>
    <w:rsid w:val="0097577C"/>
    <w:rsid w:val="00980525"/>
    <w:rsid w:val="009A43DC"/>
    <w:rsid w:val="009B32A9"/>
    <w:rsid w:val="009B5EF1"/>
    <w:rsid w:val="009C7264"/>
    <w:rsid w:val="00A17EB8"/>
    <w:rsid w:val="00A2462A"/>
    <w:rsid w:val="00A30C14"/>
    <w:rsid w:val="00A42929"/>
    <w:rsid w:val="00A5114C"/>
    <w:rsid w:val="00A52EA8"/>
    <w:rsid w:val="00A612D2"/>
    <w:rsid w:val="00A70D7B"/>
    <w:rsid w:val="00A74097"/>
    <w:rsid w:val="00A83F1C"/>
    <w:rsid w:val="00A85BA0"/>
    <w:rsid w:val="00A95755"/>
    <w:rsid w:val="00A957C6"/>
    <w:rsid w:val="00A961C3"/>
    <w:rsid w:val="00AB51D7"/>
    <w:rsid w:val="00AC4741"/>
    <w:rsid w:val="00AD19A2"/>
    <w:rsid w:val="00AD7B9F"/>
    <w:rsid w:val="00B27CFD"/>
    <w:rsid w:val="00B3083C"/>
    <w:rsid w:val="00B57818"/>
    <w:rsid w:val="00B6310C"/>
    <w:rsid w:val="00B80346"/>
    <w:rsid w:val="00BA10A8"/>
    <w:rsid w:val="00BA136D"/>
    <w:rsid w:val="00BA2F6F"/>
    <w:rsid w:val="00BA3764"/>
    <w:rsid w:val="00BA45BA"/>
    <w:rsid w:val="00BB7605"/>
    <w:rsid w:val="00BC5BFF"/>
    <w:rsid w:val="00C05EA8"/>
    <w:rsid w:val="00C23791"/>
    <w:rsid w:val="00C267D3"/>
    <w:rsid w:val="00C35B5F"/>
    <w:rsid w:val="00C500A9"/>
    <w:rsid w:val="00C5087F"/>
    <w:rsid w:val="00C734AB"/>
    <w:rsid w:val="00C73F2D"/>
    <w:rsid w:val="00C84AAC"/>
    <w:rsid w:val="00C9417F"/>
    <w:rsid w:val="00C97CD9"/>
    <w:rsid w:val="00CA3281"/>
    <w:rsid w:val="00CA32AE"/>
    <w:rsid w:val="00CA56DC"/>
    <w:rsid w:val="00CA60CE"/>
    <w:rsid w:val="00CA6A84"/>
    <w:rsid w:val="00CC1FE3"/>
    <w:rsid w:val="00CC5D49"/>
    <w:rsid w:val="00CC7E33"/>
    <w:rsid w:val="00CE0AAD"/>
    <w:rsid w:val="00CE1386"/>
    <w:rsid w:val="00CE28E9"/>
    <w:rsid w:val="00CE3588"/>
    <w:rsid w:val="00CE64A3"/>
    <w:rsid w:val="00CF10C1"/>
    <w:rsid w:val="00CF3743"/>
    <w:rsid w:val="00D027C9"/>
    <w:rsid w:val="00D0689A"/>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E18CD"/>
    <w:rsid w:val="00E016F6"/>
    <w:rsid w:val="00E20914"/>
    <w:rsid w:val="00E650AD"/>
    <w:rsid w:val="00E70F0C"/>
    <w:rsid w:val="00E7612C"/>
    <w:rsid w:val="00E912B4"/>
    <w:rsid w:val="00E912EA"/>
    <w:rsid w:val="00E94A0B"/>
    <w:rsid w:val="00EA19D4"/>
    <w:rsid w:val="00EB3AB2"/>
    <w:rsid w:val="00EC5C35"/>
    <w:rsid w:val="00EC5C8C"/>
    <w:rsid w:val="00EC71D2"/>
    <w:rsid w:val="00EE4358"/>
    <w:rsid w:val="00EE5630"/>
    <w:rsid w:val="00EF2195"/>
    <w:rsid w:val="00EF3C5F"/>
    <w:rsid w:val="00EF550D"/>
    <w:rsid w:val="00F01414"/>
    <w:rsid w:val="00F0597A"/>
    <w:rsid w:val="00F101C2"/>
    <w:rsid w:val="00F21948"/>
    <w:rsid w:val="00F22829"/>
    <w:rsid w:val="00F40445"/>
    <w:rsid w:val="00F44DDB"/>
    <w:rsid w:val="00F464A7"/>
    <w:rsid w:val="00F564DA"/>
    <w:rsid w:val="00F64830"/>
    <w:rsid w:val="00F679F6"/>
    <w:rsid w:val="00F74BC0"/>
    <w:rsid w:val="00F91C4B"/>
    <w:rsid w:val="00F927AF"/>
    <w:rsid w:val="00F961ED"/>
    <w:rsid w:val="00FA1EEE"/>
    <w:rsid w:val="00FA1F71"/>
    <w:rsid w:val="00FA35DA"/>
    <w:rsid w:val="00FC1D08"/>
    <w:rsid w:val="00FE7060"/>
    <w:rsid w:val="00FF1797"/>
    <w:rsid w:val="00FF1C7C"/>
    <w:rsid w:val="00FF23EE"/>
    <w:rsid w:val="010604DC"/>
    <w:rsid w:val="014944FD"/>
    <w:rsid w:val="017E1B19"/>
    <w:rsid w:val="01DD0E32"/>
    <w:rsid w:val="01ED3B47"/>
    <w:rsid w:val="022644A3"/>
    <w:rsid w:val="026B700F"/>
    <w:rsid w:val="02734D70"/>
    <w:rsid w:val="03052939"/>
    <w:rsid w:val="03062E20"/>
    <w:rsid w:val="0311396F"/>
    <w:rsid w:val="03B22505"/>
    <w:rsid w:val="03D23972"/>
    <w:rsid w:val="03FE01E1"/>
    <w:rsid w:val="04067181"/>
    <w:rsid w:val="046E3E44"/>
    <w:rsid w:val="047F6792"/>
    <w:rsid w:val="04EE7346"/>
    <w:rsid w:val="05045387"/>
    <w:rsid w:val="05104E6D"/>
    <w:rsid w:val="053346E9"/>
    <w:rsid w:val="05764F65"/>
    <w:rsid w:val="05A24701"/>
    <w:rsid w:val="05CD4D4D"/>
    <w:rsid w:val="05ED76CD"/>
    <w:rsid w:val="06177D1B"/>
    <w:rsid w:val="06262FF6"/>
    <w:rsid w:val="062766E1"/>
    <w:rsid w:val="065F13E0"/>
    <w:rsid w:val="068A111A"/>
    <w:rsid w:val="07267565"/>
    <w:rsid w:val="074A602C"/>
    <w:rsid w:val="078C18B4"/>
    <w:rsid w:val="07A20F5E"/>
    <w:rsid w:val="0834567D"/>
    <w:rsid w:val="085E5B1B"/>
    <w:rsid w:val="08A72892"/>
    <w:rsid w:val="08B903E4"/>
    <w:rsid w:val="08B975E0"/>
    <w:rsid w:val="08F55D20"/>
    <w:rsid w:val="094A1A48"/>
    <w:rsid w:val="095F7F4C"/>
    <w:rsid w:val="09A60123"/>
    <w:rsid w:val="09AE75F4"/>
    <w:rsid w:val="09B95F2A"/>
    <w:rsid w:val="0A0C7574"/>
    <w:rsid w:val="0A424E4D"/>
    <w:rsid w:val="0AB47D8E"/>
    <w:rsid w:val="0AF769CE"/>
    <w:rsid w:val="0AF82AC1"/>
    <w:rsid w:val="0B005469"/>
    <w:rsid w:val="0B66533A"/>
    <w:rsid w:val="0B84414D"/>
    <w:rsid w:val="0BC7245A"/>
    <w:rsid w:val="0BD46BAD"/>
    <w:rsid w:val="0BE120B2"/>
    <w:rsid w:val="0CAA47CE"/>
    <w:rsid w:val="0CEC43CA"/>
    <w:rsid w:val="0CF93B4B"/>
    <w:rsid w:val="0D50431A"/>
    <w:rsid w:val="0D6921B0"/>
    <w:rsid w:val="0DD645B4"/>
    <w:rsid w:val="0DD74F5A"/>
    <w:rsid w:val="0DF624E0"/>
    <w:rsid w:val="0DF91E0E"/>
    <w:rsid w:val="0E21417E"/>
    <w:rsid w:val="0E346850"/>
    <w:rsid w:val="0E404088"/>
    <w:rsid w:val="0E78305D"/>
    <w:rsid w:val="0EA113FA"/>
    <w:rsid w:val="0ECA11CC"/>
    <w:rsid w:val="0EDB0027"/>
    <w:rsid w:val="0EE028AD"/>
    <w:rsid w:val="0F0019B5"/>
    <w:rsid w:val="0F390E8E"/>
    <w:rsid w:val="0F8F57EF"/>
    <w:rsid w:val="0FF97625"/>
    <w:rsid w:val="0FFA6300"/>
    <w:rsid w:val="10044E18"/>
    <w:rsid w:val="1018304A"/>
    <w:rsid w:val="10722611"/>
    <w:rsid w:val="110475FD"/>
    <w:rsid w:val="11200448"/>
    <w:rsid w:val="113F7E82"/>
    <w:rsid w:val="119066D9"/>
    <w:rsid w:val="11A335B5"/>
    <w:rsid w:val="11AE35E8"/>
    <w:rsid w:val="11DD1222"/>
    <w:rsid w:val="12123D33"/>
    <w:rsid w:val="1219428E"/>
    <w:rsid w:val="129C35E8"/>
    <w:rsid w:val="12C42FA9"/>
    <w:rsid w:val="1303465D"/>
    <w:rsid w:val="13490C7D"/>
    <w:rsid w:val="135C3D02"/>
    <w:rsid w:val="13C5790E"/>
    <w:rsid w:val="147877FB"/>
    <w:rsid w:val="14C8253B"/>
    <w:rsid w:val="14D507B4"/>
    <w:rsid w:val="14E27C21"/>
    <w:rsid w:val="151770AE"/>
    <w:rsid w:val="1537358F"/>
    <w:rsid w:val="153B2049"/>
    <w:rsid w:val="15531F48"/>
    <w:rsid w:val="15614DA8"/>
    <w:rsid w:val="15991314"/>
    <w:rsid w:val="15AD79BC"/>
    <w:rsid w:val="16066864"/>
    <w:rsid w:val="163D0A87"/>
    <w:rsid w:val="16442095"/>
    <w:rsid w:val="16991EF7"/>
    <w:rsid w:val="170F0CFF"/>
    <w:rsid w:val="173850A7"/>
    <w:rsid w:val="174C0AC9"/>
    <w:rsid w:val="177B4CDC"/>
    <w:rsid w:val="17BA7FA6"/>
    <w:rsid w:val="185F2011"/>
    <w:rsid w:val="18C563A4"/>
    <w:rsid w:val="18C878F2"/>
    <w:rsid w:val="18FB18A3"/>
    <w:rsid w:val="192B2CC7"/>
    <w:rsid w:val="197D3E49"/>
    <w:rsid w:val="198B1495"/>
    <w:rsid w:val="1A0725B2"/>
    <w:rsid w:val="1A630ED2"/>
    <w:rsid w:val="1A6C248D"/>
    <w:rsid w:val="1AD23FC4"/>
    <w:rsid w:val="1AE747FC"/>
    <w:rsid w:val="1AF45622"/>
    <w:rsid w:val="1B5A7D5C"/>
    <w:rsid w:val="1B7B26E1"/>
    <w:rsid w:val="1B8A33D7"/>
    <w:rsid w:val="1B98664F"/>
    <w:rsid w:val="1C010930"/>
    <w:rsid w:val="1C1A0C17"/>
    <w:rsid w:val="1C32741A"/>
    <w:rsid w:val="1C405AE5"/>
    <w:rsid w:val="1C577EAD"/>
    <w:rsid w:val="1D0C75F3"/>
    <w:rsid w:val="1D41765A"/>
    <w:rsid w:val="1D5A219E"/>
    <w:rsid w:val="1D905BC0"/>
    <w:rsid w:val="1D960483"/>
    <w:rsid w:val="1DC817B3"/>
    <w:rsid w:val="1DE5157B"/>
    <w:rsid w:val="1DF15284"/>
    <w:rsid w:val="1E071163"/>
    <w:rsid w:val="1E0A2DCB"/>
    <w:rsid w:val="1E5F77E6"/>
    <w:rsid w:val="1EE35BC3"/>
    <w:rsid w:val="1F171CFB"/>
    <w:rsid w:val="1F3C13B6"/>
    <w:rsid w:val="1F4B49D6"/>
    <w:rsid w:val="1F803199"/>
    <w:rsid w:val="1FCB070D"/>
    <w:rsid w:val="1FF85069"/>
    <w:rsid w:val="20E916A5"/>
    <w:rsid w:val="20F41885"/>
    <w:rsid w:val="214679AB"/>
    <w:rsid w:val="2163607F"/>
    <w:rsid w:val="21993B18"/>
    <w:rsid w:val="22464B8D"/>
    <w:rsid w:val="224D2A1A"/>
    <w:rsid w:val="229A201B"/>
    <w:rsid w:val="22B67E76"/>
    <w:rsid w:val="23131962"/>
    <w:rsid w:val="232C687B"/>
    <w:rsid w:val="23670458"/>
    <w:rsid w:val="239974D6"/>
    <w:rsid w:val="23E266D0"/>
    <w:rsid w:val="23E4618A"/>
    <w:rsid w:val="244E3D8C"/>
    <w:rsid w:val="24B335CE"/>
    <w:rsid w:val="24F009A8"/>
    <w:rsid w:val="25786B34"/>
    <w:rsid w:val="25EF0E4B"/>
    <w:rsid w:val="269C26E3"/>
    <w:rsid w:val="26F97002"/>
    <w:rsid w:val="270D6E87"/>
    <w:rsid w:val="272E2D63"/>
    <w:rsid w:val="27410CB9"/>
    <w:rsid w:val="276D441A"/>
    <w:rsid w:val="2861396F"/>
    <w:rsid w:val="28AF6A0B"/>
    <w:rsid w:val="28B44010"/>
    <w:rsid w:val="29044E0B"/>
    <w:rsid w:val="29384EA8"/>
    <w:rsid w:val="295039A3"/>
    <w:rsid w:val="29E26463"/>
    <w:rsid w:val="2A07065D"/>
    <w:rsid w:val="2A0A08C3"/>
    <w:rsid w:val="2A534564"/>
    <w:rsid w:val="2A573A70"/>
    <w:rsid w:val="2AE267A7"/>
    <w:rsid w:val="2B404B09"/>
    <w:rsid w:val="2B6E6470"/>
    <w:rsid w:val="2BFA65A3"/>
    <w:rsid w:val="2BFF63EA"/>
    <w:rsid w:val="2C101F53"/>
    <w:rsid w:val="2C8F0922"/>
    <w:rsid w:val="2CA521C2"/>
    <w:rsid w:val="2CBD48CE"/>
    <w:rsid w:val="2CE211B2"/>
    <w:rsid w:val="2D657944"/>
    <w:rsid w:val="2DBD5025"/>
    <w:rsid w:val="2E015B36"/>
    <w:rsid w:val="2E275F81"/>
    <w:rsid w:val="2E28730F"/>
    <w:rsid w:val="2E4E51C2"/>
    <w:rsid w:val="2E520EAC"/>
    <w:rsid w:val="2E77681E"/>
    <w:rsid w:val="2F4B2B19"/>
    <w:rsid w:val="2F6246CC"/>
    <w:rsid w:val="2F9F2EBA"/>
    <w:rsid w:val="2F9F5447"/>
    <w:rsid w:val="2FC53683"/>
    <w:rsid w:val="2FE97A5F"/>
    <w:rsid w:val="2FFE4B1D"/>
    <w:rsid w:val="300B44EE"/>
    <w:rsid w:val="300C557A"/>
    <w:rsid w:val="305A47DE"/>
    <w:rsid w:val="30626A70"/>
    <w:rsid w:val="30671D75"/>
    <w:rsid w:val="309E348C"/>
    <w:rsid w:val="30CB35CF"/>
    <w:rsid w:val="3122073D"/>
    <w:rsid w:val="31394322"/>
    <w:rsid w:val="3184082E"/>
    <w:rsid w:val="32214672"/>
    <w:rsid w:val="32431C99"/>
    <w:rsid w:val="32583B43"/>
    <w:rsid w:val="32617B06"/>
    <w:rsid w:val="328304A8"/>
    <w:rsid w:val="32BC5F4D"/>
    <w:rsid w:val="33154A22"/>
    <w:rsid w:val="333F433A"/>
    <w:rsid w:val="33684649"/>
    <w:rsid w:val="33E651C3"/>
    <w:rsid w:val="33FE364D"/>
    <w:rsid w:val="3429115A"/>
    <w:rsid w:val="34407F01"/>
    <w:rsid w:val="34427974"/>
    <w:rsid w:val="34F2580B"/>
    <w:rsid w:val="354A5F40"/>
    <w:rsid w:val="35803C3D"/>
    <w:rsid w:val="35F42A51"/>
    <w:rsid w:val="35F965A0"/>
    <w:rsid w:val="35FFEC5E"/>
    <w:rsid w:val="36024564"/>
    <w:rsid w:val="36126E3E"/>
    <w:rsid w:val="361F260A"/>
    <w:rsid w:val="36276335"/>
    <w:rsid w:val="362E1029"/>
    <w:rsid w:val="36981B5D"/>
    <w:rsid w:val="36A9634B"/>
    <w:rsid w:val="36BB6BD4"/>
    <w:rsid w:val="36D079C8"/>
    <w:rsid w:val="36EB7CE0"/>
    <w:rsid w:val="36FD3E6E"/>
    <w:rsid w:val="376501BF"/>
    <w:rsid w:val="377D1279"/>
    <w:rsid w:val="379A5B68"/>
    <w:rsid w:val="37D716E7"/>
    <w:rsid w:val="37E82428"/>
    <w:rsid w:val="37ED2CCA"/>
    <w:rsid w:val="38631B53"/>
    <w:rsid w:val="386D5472"/>
    <w:rsid w:val="390327BB"/>
    <w:rsid w:val="394E33E8"/>
    <w:rsid w:val="396C6CF4"/>
    <w:rsid w:val="398E6F62"/>
    <w:rsid w:val="39BA6046"/>
    <w:rsid w:val="3A290002"/>
    <w:rsid w:val="3A2E128F"/>
    <w:rsid w:val="3A7C5B6F"/>
    <w:rsid w:val="3A8F3EBA"/>
    <w:rsid w:val="3A920D71"/>
    <w:rsid w:val="3AB10259"/>
    <w:rsid w:val="3ABA6222"/>
    <w:rsid w:val="3AD674BD"/>
    <w:rsid w:val="3B1B510F"/>
    <w:rsid w:val="3B301F44"/>
    <w:rsid w:val="3B3716DA"/>
    <w:rsid w:val="3B9373E6"/>
    <w:rsid w:val="3BAE4829"/>
    <w:rsid w:val="3BDF73C5"/>
    <w:rsid w:val="3C017E77"/>
    <w:rsid w:val="3C05453A"/>
    <w:rsid w:val="3C34130B"/>
    <w:rsid w:val="3C4C39CC"/>
    <w:rsid w:val="3D735C9C"/>
    <w:rsid w:val="3D743CDB"/>
    <w:rsid w:val="3D902D22"/>
    <w:rsid w:val="3DF4021A"/>
    <w:rsid w:val="3E047963"/>
    <w:rsid w:val="3E8E5BBA"/>
    <w:rsid w:val="3EDC10FF"/>
    <w:rsid w:val="3F0A5E23"/>
    <w:rsid w:val="3F3F2FD1"/>
    <w:rsid w:val="3F520FBF"/>
    <w:rsid w:val="3F9803DD"/>
    <w:rsid w:val="3FE57CA4"/>
    <w:rsid w:val="402E1B38"/>
    <w:rsid w:val="405A4873"/>
    <w:rsid w:val="406022E2"/>
    <w:rsid w:val="407B3EBF"/>
    <w:rsid w:val="40BE5142"/>
    <w:rsid w:val="40DF693D"/>
    <w:rsid w:val="40EE5020"/>
    <w:rsid w:val="40F16A8E"/>
    <w:rsid w:val="411C5418"/>
    <w:rsid w:val="412545BE"/>
    <w:rsid w:val="41314E40"/>
    <w:rsid w:val="4184340D"/>
    <w:rsid w:val="41E21275"/>
    <w:rsid w:val="42F6152E"/>
    <w:rsid w:val="42FF6CFF"/>
    <w:rsid w:val="43075E6E"/>
    <w:rsid w:val="43771108"/>
    <w:rsid w:val="438C4E1A"/>
    <w:rsid w:val="44174028"/>
    <w:rsid w:val="446523D2"/>
    <w:rsid w:val="44765180"/>
    <w:rsid w:val="44BB500C"/>
    <w:rsid w:val="44DA0696"/>
    <w:rsid w:val="44E45943"/>
    <w:rsid w:val="456844FF"/>
    <w:rsid w:val="4583380E"/>
    <w:rsid w:val="45993146"/>
    <w:rsid w:val="459E79F0"/>
    <w:rsid w:val="45EB3538"/>
    <w:rsid w:val="46440499"/>
    <w:rsid w:val="46771AC0"/>
    <w:rsid w:val="47347438"/>
    <w:rsid w:val="476D46F8"/>
    <w:rsid w:val="47777325"/>
    <w:rsid w:val="47867C8A"/>
    <w:rsid w:val="479B001B"/>
    <w:rsid w:val="47D21CE6"/>
    <w:rsid w:val="47F52C67"/>
    <w:rsid w:val="48623AD3"/>
    <w:rsid w:val="486274F2"/>
    <w:rsid w:val="48876507"/>
    <w:rsid w:val="48A14890"/>
    <w:rsid w:val="48BD0CBA"/>
    <w:rsid w:val="48DA1902"/>
    <w:rsid w:val="4A4C0CEF"/>
    <w:rsid w:val="4A67403B"/>
    <w:rsid w:val="4A734E79"/>
    <w:rsid w:val="4AD27698"/>
    <w:rsid w:val="4B1B114F"/>
    <w:rsid w:val="4B250368"/>
    <w:rsid w:val="4B7F6C9B"/>
    <w:rsid w:val="4B857DCA"/>
    <w:rsid w:val="4BB01238"/>
    <w:rsid w:val="4C2F1AF1"/>
    <w:rsid w:val="4C3F1A69"/>
    <w:rsid w:val="4C4C7D4D"/>
    <w:rsid w:val="4C692E82"/>
    <w:rsid w:val="4C763A08"/>
    <w:rsid w:val="4C8C4AEC"/>
    <w:rsid w:val="4C9B795E"/>
    <w:rsid w:val="4C9C7CB9"/>
    <w:rsid w:val="4CA216B0"/>
    <w:rsid w:val="4CA7336B"/>
    <w:rsid w:val="4D001539"/>
    <w:rsid w:val="4D060FF1"/>
    <w:rsid w:val="4D714797"/>
    <w:rsid w:val="4D9E7AA8"/>
    <w:rsid w:val="4D9F0EEA"/>
    <w:rsid w:val="4DA60964"/>
    <w:rsid w:val="4E2F6DEC"/>
    <w:rsid w:val="4E3C703C"/>
    <w:rsid w:val="4E6C673E"/>
    <w:rsid w:val="4F095D32"/>
    <w:rsid w:val="4F1A4882"/>
    <w:rsid w:val="4F3C4DEC"/>
    <w:rsid w:val="4F7C5051"/>
    <w:rsid w:val="4FDB2778"/>
    <w:rsid w:val="504900D3"/>
    <w:rsid w:val="50653B4A"/>
    <w:rsid w:val="50EA2B95"/>
    <w:rsid w:val="516620A8"/>
    <w:rsid w:val="5175589A"/>
    <w:rsid w:val="525A1D1D"/>
    <w:rsid w:val="526E31F5"/>
    <w:rsid w:val="52892F5B"/>
    <w:rsid w:val="52C04276"/>
    <w:rsid w:val="52F076BA"/>
    <w:rsid w:val="52F61709"/>
    <w:rsid w:val="532C190B"/>
    <w:rsid w:val="54073585"/>
    <w:rsid w:val="543453A5"/>
    <w:rsid w:val="544970EA"/>
    <w:rsid w:val="54843BCA"/>
    <w:rsid w:val="54D275F5"/>
    <w:rsid w:val="54DB7C79"/>
    <w:rsid w:val="54E74E26"/>
    <w:rsid w:val="55166F69"/>
    <w:rsid w:val="55580A4D"/>
    <w:rsid w:val="558B7070"/>
    <w:rsid w:val="55B45B96"/>
    <w:rsid w:val="55DC1770"/>
    <w:rsid w:val="55EB22AC"/>
    <w:rsid w:val="55FF6407"/>
    <w:rsid w:val="561133F2"/>
    <w:rsid w:val="56401CD5"/>
    <w:rsid w:val="56571FFA"/>
    <w:rsid w:val="56576C9F"/>
    <w:rsid w:val="56A92CC7"/>
    <w:rsid w:val="56D204E6"/>
    <w:rsid w:val="5772766D"/>
    <w:rsid w:val="581D5AED"/>
    <w:rsid w:val="586D09FC"/>
    <w:rsid w:val="58BD10F2"/>
    <w:rsid w:val="58CD33C2"/>
    <w:rsid w:val="596469D4"/>
    <w:rsid w:val="59BD375F"/>
    <w:rsid w:val="5A026F22"/>
    <w:rsid w:val="5A435D8A"/>
    <w:rsid w:val="5AC60A34"/>
    <w:rsid w:val="5BBC1D09"/>
    <w:rsid w:val="5C34380B"/>
    <w:rsid w:val="5C441E45"/>
    <w:rsid w:val="5CBA4C19"/>
    <w:rsid w:val="5D194289"/>
    <w:rsid w:val="5D2C4636"/>
    <w:rsid w:val="5D8C2B4C"/>
    <w:rsid w:val="5DC32E71"/>
    <w:rsid w:val="5E402B64"/>
    <w:rsid w:val="5E473A9D"/>
    <w:rsid w:val="5E94654C"/>
    <w:rsid w:val="5EE96902"/>
    <w:rsid w:val="5F001951"/>
    <w:rsid w:val="5F724B4A"/>
    <w:rsid w:val="5F7B4311"/>
    <w:rsid w:val="5F912AC4"/>
    <w:rsid w:val="5FA35FE5"/>
    <w:rsid w:val="5FD14724"/>
    <w:rsid w:val="600C4824"/>
    <w:rsid w:val="60153D3C"/>
    <w:rsid w:val="60700F30"/>
    <w:rsid w:val="607B7DDA"/>
    <w:rsid w:val="60E87B88"/>
    <w:rsid w:val="60F36AC5"/>
    <w:rsid w:val="61A76748"/>
    <w:rsid w:val="61D91A2E"/>
    <w:rsid w:val="62900431"/>
    <w:rsid w:val="62B731FE"/>
    <w:rsid w:val="62C52E85"/>
    <w:rsid w:val="62F05149"/>
    <w:rsid w:val="63023C80"/>
    <w:rsid w:val="63685D38"/>
    <w:rsid w:val="636D3AA1"/>
    <w:rsid w:val="644400F3"/>
    <w:rsid w:val="64A04202"/>
    <w:rsid w:val="64F22548"/>
    <w:rsid w:val="65033676"/>
    <w:rsid w:val="65442BCD"/>
    <w:rsid w:val="65610558"/>
    <w:rsid w:val="659106E2"/>
    <w:rsid w:val="65AB236D"/>
    <w:rsid w:val="65B8080F"/>
    <w:rsid w:val="66032238"/>
    <w:rsid w:val="662276B1"/>
    <w:rsid w:val="66400118"/>
    <w:rsid w:val="66482160"/>
    <w:rsid w:val="66483EC5"/>
    <w:rsid w:val="665A4EEE"/>
    <w:rsid w:val="66704DB4"/>
    <w:rsid w:val="66A04F95"/>
    <w:rsid w:val="66B26720"/>
    <w:rsid w:val="67102453"/>
    <w:rsid w:val="6734799D"/>
    <w:rsid w:val="67582877"/>
    <w:rsid w:val="67AE1F3C"/>
    <w:rsid w:val="680622D3"/>
    <w:rsid w:val="684E3E14"/>
    <w:rsid w:val="686C2F70"/>
    <w:rsid w:val="68A67F29"/>
    <w:rsid w:val="68C15CCA"/>
    <w:rsid w:val="68F62689"/>
    <w:rsid w:val="69350DCE"/>
    <w:rsid w:val="697D619C"/>
    <w:rsid w:val="697E5CFD"/>
    <w:rsid w:val="69EE3D79"/>
    <w:rsid w:val="6A0E091D"/>
    <w:rsid w:val="6A386990"/>
    <w:rsid w:val="6ABA50AD"/>
    <w:rsid w:val="6ABC175A"/>
    <w:rsid w:val="6B006918"/>
    <w:rsid w:val="6B58725B"/>
    <w:rsid w:val="6BA94127"/>
    <w:rsid w:val="6BFE46EA"/>
    <w:rsid w:val="6C437057"/>
    <w:rsid w:val="6C7F53F2"/>
    <w:rsid w:val="6C8B20CC"/>
    <w:rsid w:val="6CB752B5"/>
    <w:rsid w:val="6CEE487B"/>
    <w:rsid w:val="6D616AB2"/>
    <w:rsid w:val="6DD54955"/>
    <w:rsid w:val="6E290AC9"/>
    <w:rsid w:val="6E7A2566"/>
    <w:rsid w:val="6EB71B5D"/>
    <w:rsid w:val="6F447A17"/>
    <w:rsid w:val="6F4B16BB"/>
    <w:rsid w:val="6F773253"/>
    <w:rsid w:val="6FD11419"/>
    <w:rsid w:val="704217E5"/>
    <w:rsid w:val="7076354C"/>
    <w:rsid w:val="707E56F3"/>
    <w:rsid w:val="70F6444B"/>
    <w:rsid w:val="71152000"/>
    <w:rsid w:val="71951D13"/>
    <w:rsid w:val="721756F7"/>
    <w:rsid w:val="7231680E"/>
    <w:rsid w:val="72BD5AD1"/>
    <w:rsid w:val="72C87BB3"/>
    <w:rsid w:val="72D3551B"/>
    <w:rsid w:val="73584FE4"/>
    <w:rsid w:val="735F6117"/>
    <w:rsid w:val="73A40AD9"/>
    <w:rsid w:val="73BC3875"/>
    <w:rsid w:val="73FC40C7"/>
    <w:rsid w:val="745D4D21"/>
    <w:rsid w:val="74EE65C9"/>
    <w:rsid w:val="750D2EF3"/>
    <w:rsid w:val="752F342A"/>
    <w:rsid w:val="75C509F0"/>
    <w:rsid w:val="76CB6D18"/>
    <w:rsid w:val="76ED37EF"/>
    <w:rsid w:val="770F21D1"/>
    <w:rsid w:val="77667E4C"/>
    <w:rsid w:val="77BF7315"/>
    <w:rsid w:val="77CE218A"/>
    <w:rsid w:val="78532959"/>
    <w:rsid w:val="78A7019A"/>
    <w:rsid w:val="78DF6F7C"/>
    <w:rsid w:val="78FB12B4"/>
    <w:rsid w:val="790A6E9A"/>
    <w:rsid w:val="791870B6"/>
    <w:rsid w:val="796D5B63"/>
    <w:rsid w:val="798D055E"/>
    <w:rsid w:val="79B2097F"/>
    <w:rsid w:val="79BA3B0E"/>
    <w:rsid w:val="7A067586"/>
    <w:rsid w:val="7A287679"/>
    <w:rsid w:val="7A657835"/>
    <w:rsid w:val="7ABB6962"/>
    <w:rsid w:val="7AF4539C"/>
    <w:rsid w:val="7BBD37FF"/>
    <w:rsid w:val="7BBFE36C"/>
    <w:rsid w:val="7C013D85"/>
    <w:rsid w:val="7C662C4B"/>
    <w:rsid w:val="7CB32C8C"/>
    <w:rsid w:val="7D241628"/>
    <w:rsid w:val="7D733ECF"/>
    <w:rsid w:val="7DB40A20"/>
    <w:rsid w:val="7DC2451F"/>
    <w:rsid w:val="7DCE57EF"/>
    <w:rsid w:val="7DE7143A"/>
    <w:rsid w:val="7E136A50"/>
    <w:rsid w:val="7E410F70"/>
    <w:rsid w:val="7E49765A"/>
    <w:rsid w:val="7E4C0FEB"/>
    <w:rsid w:val="7EA857C5"/>
    <w:rsid w:val="7EBE0C5A"/>
    <w:rsid w:val="7EFB3C47"/>
    <w:rsid w:val="7F6271D2"/>
    <w:rsid w:val="7F850ECB"/>
    <w:rsid w:val="7F9E2999"/>
    <w:rsid w:val="7FAA2F0C"/>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7"/>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8"/>
    <w:qFormat/>
    <w:uiPriority w:val="0"/>
    <w:pPr>
      <w:keepNext/>
      <w:outlineLvl w:val="0"/>
    </w:pPr>
    <w:rPr>
      <w:sz w:val="28"/>
      <w:szCs w:val="24"/>
    </w:rPr>
  </w:style>
  <w:style w:type="paragraph" w:styleId="4">
    <w:name w:val="heading 2"/>
    <w:basedOn w:val="1"/>
    <w:next w:val="1"/>
    <w:link w:val="114"/>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60"/>
    <w:qFormat/>
    <w:uiPriority w:val="0"/>
    <w:pPr>
      <w:keepNext/>
      <w:keepLines/>
      <w:spacing w:before="260" w:after="260" w:line="416" w:lineRule="auto"/>
      <w:outlineLvl w:val="2"/>
    </w:pPr>
    <w:rPr>
      <w:b/>
      <w:bCs/>
      <w:sz w:val="32"/>
      <w:szCs w:val="32"/>
      <w:lang w:val="zh-CN"/>
    </w:rPr>
  </w:style>
  <w:style w:type="paragraph" w:styleId="6">
    <w:name w:val="heading 4"/>
    <w:basedOn w:val="1"/>
    <w:next w:val="1"/>
    <w:link w:val="6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7">
    <w:name w:val="toc 7"/>
    <w:basedOn w:val="1"/>
    <w:next w:val="1"/>
    <w:qFormat/>
    <w:uiPriority w:val="0"/>
    <w:pPr>
      <w:ind w:left="2520" w:leftChars="1200"/>
    </w:pPr>
  </w:style>
  <w:style w:type="paragraph" w:styleId="8">
    <w:name w:val="Document Map"/>
    <w:basedOn w:val="1"/>
    <w:link w:val="85"/>
    <w:qFormat/>
    <w:uiPriority w:val="0"/>
    <w:pPr>
      <w:shd w:val="clear" w:color="auto" w:fill="000080"/>
    </w:pPr>
  </w:style>
  <w:style w:type="paragraph" w:styleId="9">
    <w:name w:val="annotation text"/>
    <w:basedOn w:val="1"/>
    <w:link w:val="79"/>
    <w:semiHidden/>
    <w:qFormat/>
    <w:uiPriority w:val="99"/>
    <w:pPr>
      <w:jc w:val="left"/>
    </w:pPr>
  </w:style>
  <w:style w:type="paragraph" w:styleId="10">
    <w:name w:val="Body Text 3"/>
    <w:basedOn w:val="1"/>
    <w:link w:val="99"/>
    <w:unhideWhenUsed/>
    <w:qFormat/>
    <w:uiPriority w:val="99"/>
    <w:pPr>
      <w:spacing w:after="120"/>
    </w:pPr>
    <w:rPr>
      <w:rFonts w:ascii="Calibri" w:hAnsi="Calibri"/>
      <w:sz w:val="16"/>
      <w:szCs w:val="16"/>
      <w:lang w:val="zh-CN"/>
    </w:rPr>
  </w:style>
  <w:style w:type="paragraph" w:styleId="11">
    <w:name w:val="Body Text"/>
    <w:basedOn w:val="1"/>
    <w:next w:val="1"/>
    <w:link w:val="74"/>
    <w:qFormat/>
    <w:uiPriority w:val="0"/>
    <w:pPr>
      <w:spacing w:after="120"/>
    </w:pPr>
    <w:rPr>
      <w:szCs w:val="24"/>
    </w:rPr>
  </w:style>
  <w:style w:type="paragraph" w:styleId="12">
    <w:name w:val="Body Text Indent"/>
    <w:basedOn w:val="1"/>
    <w:next w:val="13"/>
    <w:link w:val="63"/>
    <w:qFormat/>
    <w:uiPriority w:val="0"/>
    <w:pPr>
      <w:ind w:firstLine="540"/>
    </w:pPr>
    <w:rPr>
      <w:rFonts w:eastAsia="仿宋_GB2312"/>
      <w:sz w:val="28"/>
    </w:rPr>
  </w:style>
  <w:style w:type="paragraph" w:styleId="13">
    <w:name w:val="envelope return"/>
    <w:basedOn w:val="1"/>
    <w:unhideWhenUsed/>
    <w:qFormat/>
    <w:uiPriority w:val="99"/>
    <w:pPr>
      <w:snapToGrid w:val="0"/>
      <w:spacing w:line="360" w:lineRule="auto"/>
    </w:pPr>
    <w:rPr>
      <w:rFonts w:ascii="Arial" w:hAnsi="Arial" w:cs="Arial"/>
    </w:rPr>
  </w:style>
  <w:style w:type="paragraph" w:styleId="14">
    <w:name w:val="toc 5"/>
    <w:basedOn w:val="1"/>
    <w:next w:val="1"/>
    <w:qFormat/>
    <w:uiPriority w:val="0"/>
    <w:pPr>
      <w:ind w:left="1680" w:leftChars="800"/>
    </w:pPr>
  </w:style>
  <w:style w:type="paragraph" w:styleId="15">
    <w:name w:val="toc 3"/>
    <w:basedOn w:val="1"/>
    <w:next w:val="1"/>
    <w:qFormat/>
    <w:uiPriority w:val="39"/>
    <w:pPr>
      <w:ind w:left="840" w:leftChars="400"/>
    </w:pPr>
  </w:style>
  <w:style w:type="paragraph" w:styleId="16">
    <w:name w:val="Plain Text"/>
    <w:basedOn w:val="1"/>
    <w:link w:val="82"/>
    <w:qFormat/>
    <w:uiPriority w:val="0"/>
    <w:rPr>
      <w:rFonts w:ascii="宋体" w:hAnsi="Courier New" w:cstheme="minorBidi"/>
      <w:szCs w:val="22"/>
    </w:rPr>
  </w:style>
  <w:style w:type="paragraph" w:styleId="17">
    <w:name w:val="toc 8"/>
    <w:basedOn w:val="1"/>
    <w:next w:val="1"/>
    <w:qFormat/>
    <w:uiPriority w:val="0"/>
    <w:pPr>
      <w:ind w:left="2940" w:leftChars="1400"/>
    </w:pPr>
  </w:style>
  <w:style w:type="paragraph" w:styleId="18">
    <w:name w:val="Date"/>
    <w:basedOn w:val="1"/>
    <w:next w:val="1"/>
    <w:link w:val="62"/>
    <w:qFormat/>
    <w:uiPriority w:val="0"/>
    <w:rPr>
      <w:rFonts w:ascii="Arial" w:hAnsi="Arial" w:eastAsia="楷体_GB2312"/>
      <w:sz w:val="28"/>
    </w:rPr>
  </w:style>
  <w:style w:type="paragraph" w:styleId="19">
    <w:name w:val="Body Text Indent 2"/>
    <w:basedOn w:val="1"/>
    <w:link w:val="65"/>
    <w:qFormat/>
    <w:uiPriority w:val="0"/>
    <w:pPr>
      <w:tabs>
        <w:tab w:val="left" w:pos="720"/>
      </w:tabs>
      <w:ind w:right="-506" w:rightChars="-241" w:firstLine="538" w:firstLineChars="192"/>
    </w:pPr>
    <w:rPr>
      <w:rFonts w:eastAsia="仿宋_GB2312"/>
      <w:sz w:val="28"/>
    </w:rPr>
  </w:style>
  <w:style w:type="paragraph" w:styleId="20">
    <w:name w:val="Balloon Text"/>
    <w:basedOn w:val="1"/>
    <w:link w:val="76"/>
    <w:qFormat/>
    <w:uiPriority w:val="0"/>
    <w:rPr>
      <w:sz w:val="18"/>
      <w:szCs w:val="18"/>
    </w:rPr>
  </w:style>
  <w:style w:type="paragraph" w:styleId="21">
    <w:name w:val="footer"/>
    <w:basedOn w:val="1"/>
    <w:link w:val="57"/>
    <w:unhideWhenUsed/>
    <w:qFormat/>
    <w:uiPriority w:val="99"/>
    <w:pPr>
      <w:tabs>
        <w:tab w:val="center" w:pos="4153"/>
        <w:tab w:val="right" w:pos="8306"/>
      </w:tabs>
      <w:snapToGrid w:val="0"/>
      <w:jc w:val="left"/>
    </w:pPr>
    <w:rPr>
      <w:sz w:val="18"/>
      <w:szCs w:val="18"/>
    </w:rPr>
  </w:style>
  <w:style w:type="paragraph" w:styleId="22">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link w:val="71"/>
    <w:qFormat/>
    <w:uiPriority w:val="0"/>
    <w:pPr>
      <w:ind w:left="178" w:leftChars="85" w:firstLine="560" w:firstLineChars="200"/>
    </w:pPr>
    <w:rPr>
      <w:rFonts w:ascii="仿宋_GB2312" w:hAnsi="Arial" w:eastAsia="仿宋_GB2312"/>
      <w:sz w:val="28"/>
      <w:szCs w:val="24"/>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unhideWhenUsed/>
    <w:qFormat/>
    <w:uiPriority w:val="99"/>
    <w:pPr>
      <w:jc w:val="left"/>
    </w:pPr>
    <w:rPr>
      <w:kern w:val="0"/>
      <w:sz w:val="24"/>
    </w:rPr>
  </w:style>
  <w:style w:type="paragraph" w:styleId="31">
    <w:name w:val="index 1"/>
    <w:basedOn w:val="1"/>
    <w:next w:val="1"/>
    <w:semiHidden/>
    <w:qFormat/>
    <w:uiPriority w:val="0"/>
    <w:pPr>
      <w:jc w:val="center"/>
    </w:pPr>
    <w:rPr>
      <w:rFonts w:ascii="仿宋_GB2312" w:eastAsia="仿宋_GB2312"/>
      <w:b/>
      <w:bCs/>
      <w:sz w:val="28"/>
    </w:rPr>
  </w:style>
  <w:style w:type="paragraph" w:styleId="32">
    <w:name w:val="annotation subject"/>
    <w:basedOn w:val="9"/>
    <w:next w:val="9"/>
    <w:link w:val="80"/>
    <w:semiHidden/>
    <w:qFormat/>
    <w:uiPriority w:val="99"/>
    <w:rPr>
      <w:b/>
      <w:bCs/>
    </w:rPr>
  </w:style>
  <w:style w:type="paragraph" w:styleId="33">
    <w:name w:val="Body Text First Indent"/>
    <w:basedOn w:val="11"/>
    <w:next w:val="25"/>
    <w:unhideWhenUsed/>
    <w:qFormat/>
    <w:uiPriority w:val="99"/>
    <w:pPr>
      <w:spacing w:line="400" w:lineRule="atLeast"/>
      <w:ind w:firstLine="426"/>
    </w:pPr>
    <w:rPr>
      <w:sz w:val="24"/>
      <w:szCs w:val="20"/>
    </w:rPr>
  </w:style>
  <w:style w:type="paragraph" w:styleId="34">
    <w:name w:val="Body Text First Indent 2"/>
    <w:basedOn w:val="12"/>
    <w:next w:val="1"/>
    <w:qFormat/>
    <w:uiPriority w:val="0"/>
    <w:pPr>
      <w:spacing w:line="360" w:lineRule="auto"/>
      <w:jc w:val="left"/>
    </w:pPr>
    <w:rPr>
      <w:rFonts w:cs="宋体"/>
      <w:sz w:val="28"/>
      <w:szCs w:val="28"/>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basedOn w:val="37"/>
    <w:unhideWhenUsed/>
    <w:qFormat/>
    <w:uiPriority w:val="99"/>
    <w:rPr>
      <w:color w:val="954F72" w:themeColor="followedHyperlink"/>
      <w:u w:val="single"/>
      <w14:textFill>
        <w14:solidFill>
          <w14:schemeClr w14:val="folHlink"/>
        </w14:solidFill>
      </w14:textFill>
    </w:rPr>
  </w:style>
  <w:style w:type="character" w:styleId="41">
    <w:name w:val="Emphasis"/>
    <w:basedOn w:val="37"/>
    <w:qFormat/>
    <w:uiPriority w:val="20"/>
    <w:rPr>
      <w:b/>
      <w:bCs/>
    </w:rPr>
  </w:style>
  <w:style w:type="character" w:styleId="42">
    <w:name w:val="HTML Definition"/>
    <w:basedOn w:val="37"/>
    <w:semiHidden/>
    <w:unhideWhenUsed/>
    <w:qFormat/>
    <w:uiPriority w:val="99"/>
  </w:style>
  <w:style w:type="character" w:styleId="43">
    <w:name w:val="HTML Typewriter"/>
    <w:basedOn w:val="37"/>
    <w:semiHidden/>
    <w:unhideWhenUsed/>
    <w:qFormat/>
    <w:uiPriority w:val="99"/>
    <w:rPr>
      <w:rFonts w:hint="default" w:ascii="monospace" w:hAnsi="monospace" w:eastAsia="monospace" w:cs="monospace"/>
      <w:sz w:val="20"/>
    </w:rPr>
  </w:style>
  <w:style w:type="character" w:styleId="44">
    <w:name w:val="HTML Acronym"/>
    <w:basedOn w:val="37"/>
    <w:semiHidden/>
    <w:unhideWhenUsed/>
    <w:qFormat/>
    <w:uiPriority w:val="99"/>
  </w:style>
  <w:style w:type="character" w:styleId="45">
    <w:name w:val="HTML Variable"/>
    <w:basedOn w:val="37"/>
    <w:semiHidden/>
    <w:unhideWhenUsed/>
    <w:qFormat/>
    <w:uiPriority w:val="99"/>
  </w:style>
  <w:style w:type="character" w:styleId="46">
    <w:name w:val="Hyperlink"/>
    <w:basedOn w:val="37"/>
    <w:qFormat/>
    <w:uiPriority w:val="99"/>
    <w:rPr>
      <w:color w:val="333333"/>
      <w:u w:val="none"/>
    </w:rPr>
  </w:style>
  <w:style w:type="character" w:styleId="47">
    <w:name w:val="HTML Code"/>
    <w:basedOn w:val="37"/>
    <w:semiHidden/>
    <w:unhideWhenUsed/>
    <w:qFormat/>
    <w:uiPriority w:val="99"/>
    <w:rPr>
      <w:rFonts w:hint="default" w:ascii="monospace" w:hAnsi="monospace" w:eastAsia="monospace" w:cs="monospace"/>
      <w:sz w:val="20"/>
    </w:rPr>
  </w:style>
  <w:style w:type="character" w:styleId="48">
    <w:name w:val="annotation reference"/>
    <w:semiHidden/>
    <w:qFormat/>
    <w:uiPriority w:val="99"/>
    <w:rPr>
      <w:sz w:val="21"/>
      <w:szCs w:val="21"/>
    </w:rPr>
  </w:style>
  <w:style w:type="character" w:styleId="49">
    <w:name w:val="HTML Cite"/>
    <w:basedOn w:val="37"/>
    <w:semiHidden/>
    <w:unhideWhenUsed/>
    <w:qFormat/>
    <w:uiPriority w:val="99"/>
  </w:style>
  <w:style w:type="character" w:styleId="50">
    <w:name w:val="HTML Keyboard"/>
    <w:basedOn w:val="37"/>
    <w:semiHidden/>
    <w:unhideWhenUsed/>
    <w:qFormat/>
    <w:uiPriority w:val="99"/>
    <w:rPr>
      <w:rFonts w:ascii="monospace" w:hAnsi="monospace" w:eastAsia="monospace" w:cs="monospace"/>
      <w:sz w:val="20"/>
    </w:rPr>
  </w:style>
  <w:style w:type="character" w:styleId="51">
    <w:name w:val="HTML Sample"/>
    <w:basedOn w:val="37"/>
    <w:semiHidden/>
    <w:unhideWhenUsed/>
    <w:qFormat/>
    <w:uiPriority w:val="99"/>
    <w:rPr>
      <w:rFonts w:hint="default" w:ascii="monospace" w:hAnsi="monospace" w:eastAsia="monospace" w:cs="monospace"/>
    </w:rPr>
  </w:style>
  <w:style w:type="paragraph" w:customStyle="1" w:styleId="52">
    <w:name w:val="style4"/>
    <w:basedOn w:val="1"/>
    <w:next w:val="53"/>
    <w:qFormat/>
    <w:uiPriority w:val="0"/>
    <w:pPr>
      <w:widowControl/>
      <w:spacing w:before="280" w:after="280"/>
    </w:pPr>
    <w:rPr>
      <w:rFonts w:ascii="宋体"/>
      <w:sz w:val="18"/>
    </w:rPr>
  </w:style>
  <w:style w:type="paragraph" w:customStyle="1" w:styleId="5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4">
    <w:name w:val="列出段落1"/>
    <w:basedOn w:val="1"/>
    <w:qFormat/>
    <w:uiPriority w:val="0"/>
    <w:pPr>
      <w:ind w:firstLine="420" w:firstLineChars="200"/>
    </w:pPr>
    <w:rPr>
      <w:rFonts w:ascii="Calibri" w:hAnsi="Calibri"/>
      <w:szCs w:val="22"/>
    </w:rPr>
  </w:style>
  <w:style w:type="paragraph" w:customStyle="1" w:styleId="55">
    <w:name w:val="目录 71"/>
    <w:basedOn w:val="1"/>
    <w:next w:val="1"/>
    <w:qFormat/>
    <w:uiPriority w:val="0"/>
    <w:pPr>
      <w:ind w:left="2520"/>
    </w:pPr>
    <w:rPr>
      <w:rFonts w:ascii="Calibri"/>
    </w:rPr>
  </w:style>
  <w:style w:type="character" w:customStyle="1" w:styleId="56">
    <w:name w:val="页眉 字符"/>
    <w:basedOn w:val="37"/>
    <w:link w:val="22"/>
    <w:qFormat/>
    <w:uiPriority w:val="0"/>
    <w:rPr>
      <w:sz w:val="18"/>
      <w:szCs w:val="18"/>
    </w:rPr>
  </w:style>
  <w:style w:type="character" w:customStyle="1" w:styleId="57">
    <w:name w:val="页脚 字符"/>
    <w:basedOn w:val="37"/>
    <w:link w:val="21"/>
    <w:qFormat/>
    <w:uiPriority w:val="0"/>
    <w:rPr>
      <w:sz w:val="18"/>
      <w:szCs w:val="18"/>
    </w:rPr>
  </w:style>
  <w:style w:type="character" w:customStyle="1" w:styleId="58">
    <w:name w:val="标题 1 字符"/>
    <w:basedOn w:val="37"/>
    <w:link w:val="3"/>
    <w:qFormat/>
    <w:uiPriority w:val="0"/>
    <w:rPr>
      <w:rFonts w:ascii="Times New Roman" w:hAnsi="Times New Roman" w:eastAsia="宋体" w:cs="Times New Roman"/>
      <w:sz w:val="28"/>
      <w:szCs w:val="24"/>
    </w:rPr>
  </w:style>
  <w:style w:type="character" w:customStyle="1" w:styleId="59">
    <w:name w:val="标题 2 Char"/>
    <w:basedOn w:val="37"/>
    <w:qFormat/>
    <w:uiPriority w:val="0"/>
    <w:rPr>
      <w:rFonts w:ascii="Arial" w:hAnsi="Arial" w:eastAsia="黑体" w:cs="Times New Roman"/>
      <w:b/>
      <w:kern w:val="0"/>
      <w:sz w:val="32"/>
      <w:szCs w:val="20"/>
    </w:rPr>
  </w:style>
  <w:style w:type="character" w:customStyle="1" w:styleId="60">
    <w:name w:val="标题 3 字符"/>
    <w:basedOn w:val="37"/>
    <w:link w:val="5"/>
    <w:qFormat/>
    <w:uiPriority w:val="0"/>
    <w:rPr>
      <w:rFonts w:ascii="Times New Roman" w:hAnsi="Times New Roman" w:eastAsia="宋体" w:cs="Times New Roman"/>
      <w:b/>
      <w:bCs/>
      <w:sz w:val="32"/>
      <w:szCs w:val="32"/>
      <w:lang w:val="zh-CN" w:eastAsia="zh-CN"/>
    </w:rPr>
  </w:style>
  <w:style w:type="character" w:customStyle="1" w:styleId="61">
    <w:name w:val="标题 4 字符"/>
    <w:basedOn w:val="37"/>
    <w:link w:val="6"/>
    <w:qFormat/>
    <w:uiPriority w:val="0"/>
    <w:rPr>
      <w:rFonts w:ascii="Arial" w:hAnsi="Arial" w:eastAsia="黑体" w:cs="Times New Roman"/>
      <w:b/>
      <w:kern w:val="0"/>
      <w:sz w:val="28"/>
      <w:szCs w:val="20"/>
    </w:rPr>
  </w:style>
  <w:style w:type="character" w:customStyle="1" w:styleId="62">
    <w:name w:val="日期 字符"/>
    <w:basedOn w:val="37"/>
    <w:link w:val="18"/>
    <w:qFormat/>
    <w:uiPriority w:val="0"/>
    <w:rPr>
      <w:rFonts w:ascii="Arial" w:hAnsi="Arial" w:eastAsia="楷体_GB2312" w:cs="Times New Roman"/>
      <w:sz w:val="28"/>
      <w:szCs w:val="20"/>
    </w:rPr>
  </w:style>
  <w:style w:type="character" w:customStyle="1" w:styleId="63">
    <w:name w:val="正文文本缩进 字符"/>
    <w:basedOn w:val="37"/>
    <w:link w:val="12"/>
    <w:qFormat/>
    <w:uiPriority w:val="0"/>
    <w:rPr>
      <w:rFonts w:ascii="Times New Roman" w:hAnsi="Times New Roman" w:eastAsia="仿宋_GB2312" w:cs="Times New Roman"/>
      <w:sz w:val="28"/>
      <w:szCs w:val="20"/>
    </w:rPr>
  </w:style>
  <w:style w:type="paragraph" w:customStyle="1" w:styleId="64">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5">
    <w:name w:val="正文文本缩进 2 字符"/>
    <w:basedOn w:val="37"/>
    <w:link w:val="19"/>
    <w:qFormat/>
    <w:uiPriority w:val="0"/>
    <w:rPr>
      <w:rFonts w:ascii="Times New Roman" w:hAnsi="Times New Roman" w:eastAsia="仿宋_GB2312" w:cs="Times New Roman"/>
      <w:sz w:val="28"/>
      <w:szCs w:val="20"/>
    </w:rPr>
  </w:style>
  <w:style w:type="paragraph" w:customStyle="1" w:styleId="66">
    <w:name w:val="样式1"/>
    <w:basedOn w:val="1"/>
    <w:qFormat/>
    <w:uiPriority w:val="0"/>
    <w:pPr>
      <w:numPr>
        <w:ilvl w:val="0"/>
        <w:numId w:val="1"/>
      </w:numPr>
      <w:adjustRightInd w:val="0"/>
      <w:textAlignment w:val="baseline"/>
    </w:pPr>
    <w:rPr>
      <w:rFonts w:ascii="宋体" w:hAnsi="宋体"/>
      <w:kern w:val="0"/>
    </w:rPr>
  </w:style>
  <w:style w:type="paragraph" w:customStyle="1" w:styleId="67">
    <w:name w:val="样式 宋体 五号 行距: 单倍行距"/>
    <w:basedOn w:val="1"/>
    <w:qFormat/>
    <w:uiPriority w:val="0"/>
    <w:pPr>
      <w:adjustRightInd w:val="0"/>
      <w:jc w:val="left"/>
      <w:textAlignment w:val="baseline"/>
    </w:pPr>
    <w:rPr>
      <w:rFonts w:ascii="宋体" w:hAnsi="宋体"/>
      <w:kern w:val="0"/>
    </w:rPr>
  </w:style>
  <w:style w:type="paragraph" w:customStyle="1" w:styleId="68">
    <w:name w:val="样式 标题 2 + 宋体 五号 行距: 单倍行距"/>
    <w:basedOn w:val="4"/>
    <w:qFormat/>
    <w:uiPriority w:val="0"/>
    <w:pPr>
      <w:spacing w:line="240" w:lineRule="auto"/>
    </w:pPr>
    <w:rPr>
      <w:rFonts w:ascii="宋体" w:hAnsi="宋体" w:eastAsia="宋体"/>
      <w:sz w:val="21"/>
    </w:rPr>
  </w:style>
  <w:style w:type="paragraph" w:customStyle="1" w:styleId="69">
    <w:name w:val="Char Char Char Char Char"/>
    <w:basedOn w:val="1"/>
    <w:qFormat/>
    <w:uiPriority w:val="0"/>
    <w:rPr>
      <w:rFonts w:ascii="Tahoma" w:hAnsi="Tahoma"/>
      <w:sz w:val="24"/>
    </w:rPr>
  </w:style>
  <w:style w:type="paragraph" w:customStyle="1" w:styleId="70">
    <w:name w:val="Char"/>
    <w:basedOn w:val="1"/>
    <w:qFormat/>
    <w:uiPriority w:val="0"/>
    <w:rPr>
      <w:rFonts w:ascii="Tahoma" w:hAnsi="Tahoma"/>
      <w:sz w:val="24"/>
    </w:rPr>
  </w:style>
  <w:style w:type="character" w:customStyle="1" w:styleId="71">
    <w:name w:val="正文文本缩进 3 字符"/>
    <w:basedOn w:val="37"/>
    <w:link w:val="26"/>
    <w:qFormat/>
    <w:uiPriority w:val="0"/>
    <w:rPr>
      <w:rFonts w:ascii="仿宋_GB2312" w:hAnsi="Arial" w:eastAsia="仿宋_GB2312" w:cs="Times New Roman"/>
      <w:sz w:val="28"/>
      <w:szCs w:val="24"/>
    </w:rPr>
  </w:style>
  <w:style w:type="paragraph" w:customStyle="1" w:styleId="72">
    <w:name w:val="Char1"/>
    <w:basedOn w:val="1"/>
    <w:qFormat/>
    <w:uiPriority w:val="0"/>
    <w:rPr>
      <w:rFonts w:ascii="Tahoma" w:hAnsi="Tahoma" w:eastAsia="仿宋_GB2312"/>
      <w:sz w:val="24"/>
    </w:rPr>
  </w:style>
  <w:style w:type="paragraph" w:customStyle="1" w:styleId="73">
    <w:name w:val="Char Char Char Char Char Char Char1 Char"/>
    <w:basedOn w:val="1"/>
    <w:qFormat/>
    <w:uiPriority w:val="0"/>
    <w:rPr>
      <w:rFonts w:ascii="Tahoma" w:hAnsi="Tahoma"/>
      <w:sz w:val="24"/>
    </w:rPr>
  </w:style>
  <w:style w:type="character" w:customStyle="1" w:styleId="74">
    <w:name w:val="正文文本 字符"/>
    <w:basedOn w:val="37"/>
    <w:link w:val="11"/>
    <w:qFormat/>
    <w:uiPriority w:val="0"/>
    <w:rPr>
      <w:rFonts w:ascii="Times New Roman" w:hAnsi="Times New Roman" w:eastAsia="宋体" w:cs="Times New Roman"/>
      <w:szCs w:val="24"/>
    </w:rPr>
  </w:style>
  <w:style w:type="paragraph" w:customStyle="1" w:styleId="75">
    <w:name w:val="Char Char Char Char"/>
    <w:basedOn w:val="1"/>
    <w:next w:val="1"/>
    <w:qFormat/>
    <w:uiPriority w:val="0"/>
    <w:pPr>
      <w:widowControl/>
      <w:spacing w:line="360" w:lineRule="auto"/>
      <w:jc w:val="left"/>
    </w:pPr>
  </w:style>
  <w:style w:type="character" w:customStyle="1" w:styleId="76">
    <w:name w:val="批注框文本 字符"/>
    <w:basedOn w:val="37"/>
    <w:link w:val="20"/>
    <w:qFormat/>
    <w:uiPriority w:val="0"/>
    <w:rPr>
      <w:rFonts w:ascii="Times New Roman" w:hAnsi="Times New Roman" w:eastAsia="宋体" w:cs="Times New Roman"/>
      <w:sz w:val="18"/>
      <w:szCs w:val="18"/>
    </w:rPr>
  </w:style>
  <w:style w:type="paragraph" w:customStyle="1" w:styleId="77">
    <w:name w:val="Char Char Char"/>
    <w:basedOn w:val="1"/>
    <w:qFormat/>
    <w:uiPriority w:val="0"/>
    <w:rPr>
      <w:rFonts w:ascii="Tahoma" w:hAnsi="Tahoma"/>
      <w:sz w:val="24"/>
    </w:rPr>
  </w:style>
  <w:style w:type="paragraph" w:customStyle="1" w:styleId="78">
    <w:name w:val="Char Char Char Char Char Char Char Char Char Char"/>
    <w:basedOn w:val="1"/>
    <w:qFormat/>
    <w:uiPriority w:val="0"/>
    <w:rPr>
      <w:rFonts w:ascii="Tahoma" w:hAnsi="Tahoma" w:cs="仿宋_GB2312"/>
      <w:sz w:val="24"/>
    </w:rPr>
  </w:style>
  <w:style w:type="character" w:customStyle="1" w:styleId="79">
    <w:name w:val="批注文字 字符"/>
    <w:basedOn w:val="37"/>
    <w:link w:val="9"/>
    <w:semiHidden/>
    <w:qFormat/>
    <w:uiPriority w:val="99"/>
    <w:rPr>
      <w:rFonts w:ascii="Times New Roman" w:hAnsi="Times New Roman" w:eastAsia="宋体" w:cs="Times New Roman"/>
      <w:szCs w:val="20"/>
    </w:rPr>
  </w:style>
  <w:style w:type="character" w:customStyle="1" w:styleId="80">
    <w:name w:val="批注主题 字符"/>
    <w:basedOn w:val="79"/>
    <w:link w:val="32"/>
    <w:semiHidden/>
    <w:qFormat/>
    <w:uiPriority w:val="99"/>
    <w:rPr>
      <w:rFonts w:ascii="Times New Roman" w:hAnsi="Times New Roman" w:eastAsia="宋体" w:cs="Times New Roman"/>
      <w:b/>
      <w:bCs/>
      <w:szCs w:val="20"/>
    </w:rPr>
  </w:style>
  <w:style w:type="paragraph" w:customStyle="1" w:styleId="81">
    <w:name w:val="Char Char Char Char Char Char"/>
    <w:basedOn w:val="1"/>
    <w:qFormat/>
    <w:uiPriority w:val="0"/>
  </w:style>
  <w:style w:type="character" w:customStyle="1" w:styleId="82">
    <w:name w:val="纯文本 字符"/>
    <w:link w:val="16"/>
    <w:qFormat/>
    <w:uiPriority w:val="0"/>
    <w:rPr>
      <w:rFonts w:ascii="宋体" w:hAnsi="Courier New" w:eastAsia="宋体"/>
    </w:rPr>
  </w:style>
  <w:style w:type="character" w:customStyle="1" w:styleId="83">
    <w:name w:val="纯文本 Char1"/>
    <w:basedOn w:val="37"/>
    <w:semiHidden/>
    <w:qFormat/>
    <w:uiPriority w:val="99"/>
    <w:rPr>
      <w:rFonts w:ascii="宋体" w:hAnsi="Courier New" w:eastAsia="宋体" w:cs="Courier New"/>
      <w:szCs w:val="21"/>
    </w:rPr>
  </w:style>
  <w:style w:type="paragraph" w:customStyle="1" w:styleId="84">
    <w:name w:val="Char12 Char Char Char"/>
    <w:basedOn w:val="1"/>
    <w:qFormat/>
    <w:uiPriority w:val="0"/>
  </w:style>
  <w:style w:type="character" w:customStyle="1" w:styleId="85">
    <w:name w:val="文档结构图 字符"/>
    <w:basedOn w:val="37"/>
    <w:link w:val="8"/>
    <w:qFormat/>
    <w:uiPriority w:val="0"/>
    <w:rPr>
      <w:rFonts w:ascii="Times New Roman" w:hAnsi="Times New Roman" w:eastAsia="宋体" w:cs="Times New Roman"/>
      <w:szCs w:val="20"/>
      <w:shd w:val="clear" w:color="auto" w:fill="000080"/>
    </w:rPr>
  </w:style>
  <w:style w:type="character" w:customStyle="1" w:styleId="86">
    <w:name w:val="style29"/>
    <w:qFormat/>
    <w:uiPriority w:val="0"/>
  </w:style>
  <w:style w:type="character" w:customStyle="1" w:styleId="87">
    <w:name w:val="正文1"/>
    <w:qFormat/>
    <w:uiPriority w:val="0"/>
  </w:style>
  <w:style w:type="character" w:customStyle="1" w:styleId="88">
    <w:name w:val="font11"/>
    <w:qFormat/>
    <w:uiPriority w:val="0"/>
    <w:rPr>
      <w:rFonts w:hint="default" w:ascii="Times New Roman" w:hAnsi="Times New Roman" w:cs="Times New Roman"/>
      <w:color w:val="3366FF"/>
      <w:sz w:val="24"/>
      <w:szCs w:val="24"/>
      <w:u w:val="none"/>
    </w:rPr>
  </w:style>
  <w:style w:type="character" w:customStyle="1" w:styleId="89">
    <w:name w:val="font21"/>
    <w:qFormat/>
    <w:uiPriority w:val="0"/>
    <w:rPr>
      <w:rFonts w:hint="eastAsia" w:ascii="宋体" w:hAnsi="宋体" w:eastAsia="宋体"/>
      <w:color w:val="3366FF"/>
      <w:sz w:val="24"/>
      <w:szCs w:val="24"/>
      <w:u w:val="none"/>
    </w:rPr>
  </w:style>
  <w:style w:type="paragraph" w:customStyle="1" w:styleId="90">
    <w:name w:val="Char Char15"/>
    <w:basedOn w:val="1"/>
    <w:qFormat/>
    <w:uiPriority w:val="0"/>
    <w:rPr>
      <w:rFonts w:ascii="Tahoma" w:hAnsi="Tahoma" w:eastAsia="仿宋_GB2312"/>
      <w:sz w:val="24"/>
    </w:rPr>
  </w:style>
  <w:style w:type="paragraph" w:customStyle="1" w:styleId="91">
    <w:name w:val="Char2"/>
    <w:basedOn w:val="1"/>
    <w:qFormat/>
    <w:uiPriority w:val="0"/>
    <w:pPr>
      <w:tabs>
        <w:tab w:val="left" w:pos="360"/>
      </w:tabs>
    </w:pPr>
    <w:rPr>
      <w:sz w:val="24"/>
      <w:szCs w:val="24"/>
    </w:rPr>
  </w:style>
  <w:style w:type="paragraph" w:customStyle="1" w:styleId="92">
    <w:name w:val="Char16"/>
    <w:basedOn w:val="1"/>
    <w:qFormat/>
    <w:uiPriority w:val="0"/>
    <w:rPr>
      <w:rFonts w:ascii="Tahoma" w:hAnsi="Tahoma" w:eastAsia="仿宋_GB2312"/>
      <w:sz w:val="24"/>
    </w:rPr>
  </w:style>
  <w:style w:type="paragraph" w:customStyle="1" w:styleId="93">
    <w:name w:val="Char Char1"/>
    <w:basedOn w:val="1"/>
    <w:qFormat/>
    <w:uiPriority w:val="0"/>
    <w:rPr>
      <w:rFonts w:ascii="Tahoma" w:hAnsi="Tahoma"/>
      <w:sz w:val="24"/>
    </w:rPr>
  </w:style>
  <w:style w:type="paragraph" w:customStyle="1" w:styleId="94">
    <w:name w:val="Char Char Char Char Char Char Char"/>
    <w:basedOn w:val="1"/>
    <w:qFormat/>
    <w:uiPriority w:val="0"/>
    <w:rPr>
      <w:szCs w:val="24"/>
    </w:rPr>
  </w:style>
  <w:style w:type="paragraph" w:customStyle="1" w:styleId="95">
    <w:name w:val="Char Char"/>
    <w:basedOn w:val="1"/>
    <w:qFormat/>
    <w:uiPriority w:val="0"/>
    <w:rPr>
      <w:rFonts w:ascii="Tahoma" w:hAnsi="Tahoma" w:cs="仿宋_GB2312"/>
      <w:sz w:val="24"/>
    </w:rPr>
  </w:style>
  <w:style w:type="paragraph" w:customStyle="1" w:styleId="96">
    <w:name w:val="Char Char2"/>
    <w:basedOn w:val="1"/>
    <w:qFormat/>
    <w:uiPriority w:val="0"/>
    <w:rPr>
      <w:rFonts w:ascii="Tahoma" w:hAnsi="Tahoma" w:cs="仿宋_GB2312"/>
      <w:sz w:val="24"/>
    </w:rPr>
  </w:style>
  <w:style w:type="paragraph" w:customStyle="1" w:styleId="97">
    <w:name w:val="Char Char Char1"/>
    <w:basedOn w:val="1"/>
    <w:qFormat/>
    <w:uiPriority w:val="0"/>
    <w:rPr>
      <w:rFonts w:ascii="Tahoma" w:hAnsi="Tahoma"/>
      <w:sz w:val="24"/>
    </w:rPr>
  </w:style>
  <w:style w:type="paragraph" w:customStyle="1" w:styleId="98">
    <w:name w:val="D&amp;L"/>
    <w:basedOn w:val="22"/>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9">
    <w:name w:val="正文文本 3 字符"/>
    <w:basedOn w:val="37"/>
    <w:link w:val="10"/>
    <w:qFormat/>
    <w:uiPriority w:val="99"/>
    <w:rPr>
      <w:rFonts w:ascii="Calibri" w:hAnsi="Calibri" w:eastAsia="宋体" w:cs="Times New Roman"/>
      <w:sz w:val="16"/>
      <w:szCs w:val="16"/>
      <w:lang w:val="zh-CN" w:eastAsia="zh-CN"/>
    </w:rPr>
  </w:style>
  <w:style w:type="paragraph" w:customStyle="1" w:styleId="10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01">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style23"/>
    <w:qFormat/>
    <w:uiPriority w:val="0"/>
    <w:rPr>
      <w:rFonts w:ascii="Times New Roman" w:hAnsi="Times New Roman" w:eastAsia="宋体"/>
    </w:rPr>
  </w:style>
  <w:style w:type="paragraph" w:customStyle="1" w:styleId="103">
    <w:name w:val="p0"/>
    <w:basedOn w:val="1"/>
    <w:qFormat/>
    <w:uiPriority w:val="0"/>
    <w:pPr>
      <w:widowControl/>
      <w:jc w:val="left"/>
    </w:pPr>
    <w:rPr>
      <w:rFonts w:ascii="等线" w:hAnsi="等线" w:eastAsia="等线" w:cs="等线"/>
      <w:kern w:val="0"/>
      <w:sz w:val="20"/>
      <w:szCs w:val="22"/>
    </w:rPr>
  </w:style>
  <w:style w:type="paragraph" w:customStyle="1" w:styleId="104">
    <w:name w:val="列表段落1"/>
    <w:basedOn w:val="1"/>
    <w:qFormat/>
    <w:uiPriority w:val="34"/>
    <w:pPr>
      <w:ind w:firstLine="420" w:firstLineChars="200"/>
    </w:pPr>
    <w:rPr>
      <w:szCs w:val="24"/>
    </w:rPr>
  </w:style>
  <w:style w:type="paragraph" w:customStyle="1" w:styleId="105">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106">
    <w:name w:val="List Paragraph"/>
    <w:basedOn w:val="1"/>
    <w:qFormat/>
    <w:uiPriority w:val="99"/>
    <w:pPr>
      <w:ind w:firstLine="420" w:firstLineChars="200"/>
    </w:pPr>
  </w:style>
  <w:style w:type="table" w:customStyle="1" w:styleId="107">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08">
    <w:name w:val="first-child3"/>
    <w:basedOn w:val="37"/>
    <w:qFormat/>
    <w:uiPriority w:val="0"/>
  </w:style>
  <w:style w:type="character" w:customStyle="1" w:styleId="109">
    <w:name w:val="layui-this"/>
    <w:basedOn w:val="37"/>
    <w:qFormat/>
    <w:uiPriority w:val="0"/>
    <w:rPr>
      <w:bdr w:val="single" w:color="EEEEEE" w:sz="4" w:space="0"/>
      <w:shd w:val="clear" w:color="auto" w:fill="FFFFFF"/>
    </w:rPr>
  </w:style>
  <w:style w:type="character" w:customStyle="1" w:styleId="110">
    <w:name w:val="first-child2"/>
    <w:basedOn w:val="37"/>
    <w:qFormat/>
    <w:uiPriority w:val="0"/>
  </w:style>
  <w:style w:type="character" w:customStyle="1" w:styleId="111">
    <w:name w:val="first-child"/>
    <w:basedOn w:val="37"/>
    <w:qFormat/>
    <w:uiPriority w:val="0"/>
  </w:style>
  <w:style w:type="character" w:customStyle="1" w:styleId="112">
    <w:name w:val="first-child1"/>
    <w:basedOn w:val="37"/>
    <w:qFormat/>
    <w:uiPriority w:val="0"/>
  </w:style>
  <w:style w:type="paragraph" w:customStyle="1" w:styleId="113">
    <w:name w:val="Table Paragraph"/>
    <w:basedOn w:val="1"/>
    <w:qFormat/>
    <w:uiPriority w:val="99"/>
    <w:pPr>
      <w:jc w:val="left"/>
    </w:pPr>
    <w:rPr>
      <w:rFonts w:ascii="宋体" w:hAnsi="宋体" w:cs="宋体"/>
      <w:kern w:val="0"/>
      <w:sz w:val="22"/>
      <w:szCs w:val="22"/>
      <w:lang w:eastAsia="en-US"/>
    </w:rPr>
  </w:style>
  <w:style w:type="character" w:customStyle="1" w:styleId="114">
    <w:name w:val="标题 2 字符"/>
    <w:link w:val="4"/>
    <w:qFormat/>
    <w:uiPriority w:val="0"/>
    <w:rPr>
      <w:rFonts w:ascii="Arial" w:hAnsi="Arial" w:eastAsia="黑体"/>
      <w:b/>
      <w:bCs/>
      <w:sz w:val="32"/>
      <w:szCs w:val="32"/>
    </w:rPr>
  </w:style>
  <w:style w:type="character" w:customStyle="1" w:styleId="115">
    <w:name w:val="place"/>
    <w:basedOn w:val="37"/>
    <w:qFormat/>
    <w:uiPriority w:val="0"/>
  </w:style>
  <w:style w:type="character" w:customStyle="1" w:styleId="116">
    <w:name w:val="place1"/>
    <w:basedOn w:val="37"/>
    <w:qFormat/>
    <w:uiPriority w:val="0"/>
  </w:style>
  <w:style w:type="character" w:customStyle="1" w:styleId="117">
    <w:name w:val="place2"/>
    <w:basedOn w:val="37"/>
    <w:qFormat/>
    <w:uiPriority w:val="0"/>
    <w:rPr>
      <w:rFonts w:ascii="微软雅黑" w:hAnsi="微软雅黑" w:eastAsia="微软雅黑" w:cs="微软雅黑"/>
      <w:color w:val="888888"/>
      <w:sz w:val="20"/>
      <w:szCs w:val="20"/>
    </w:rPr>
  </w:style>
  <w:style w:type="character" w:customStyle="1" w:styleId="118">
    <w:name w:val="place3"/>
    <w:basedOn w:val="37"/>
    <w:qFormat/>
    <w:uiPriority w:val="0"/>
  </w:style>
  <w:style w:type="character" w:customStyle="1" w:styleId="119">
    <w:name w:val="font"/>
    <w:basedOn w:val="37"/>
    <w:qFormat/>
    <w:uiPriority w:val="0"/>
  </w:style>
  <w:style w:type="character" w:customStyle="1" w:styleId="120">
    <w:name w:val="font1"/>
    <w:basedOn w:val="37"/>
    <w:qFormat/>
    <w:uiPriority w:val="0"/>
  </w:style>
  <w:style w:type="character" w:customStyle="1" w:styleId="121">
    <w:name w:val="gwds_nopic"/>
    <w:basedOn w:val="37"/>
    <w:qFormat/>
    <w:uiPriority w:val="0"/>
  </w:style>
  <w:style w:type="character" w:customStyle="1" w:styleId="122">
    <w:name w:val="gwds_nopic1"/>
    <w:basedOn w:val="37"/>
    <w:qFormat/>
    <w:uiPriority w:val="0"/>
  </w:style>
  <w:style w:type="character" w:customStyle="1" w:styleId="123">
    <w:name w:val="gwds_nopic2"/>
    <w:basedOn w:val="37"/>
    <w:qFormat/>
    <w:uiPriority w:val="0"/>
  </w:style>
  <w:style w:type="character" w:customStyle="1" w:styleId="124">
    <w:name w:val="noline"/>
    <w:basedOn w:val="37"/>
    <w:qFormat/>
    <w:uiPriority w:val="0"/>
  </w:style>
  <w:style w:type="character" w:customStyle="1" w:styleId="125">
    <w:name w:val="hover17"/>
    <w:basedOn w:val="37"/>
    <w:qFormat/>
    <w:uiPriority w:val="0"/>
    <w:rPr>
      <w:color w:val="025291"/>
    </w:rPr>
  </w:style>
  <w:style w:type="character" w:customStyle="1" w:styleId="126">
    <w:name w:val="Unresolved Mention"/>
    <w:basedOn w:val="37"/>
    <w:semiHidden/>
    <w:unhideWhenUsed/>
    <w:qFormat/>
    <w:uiPriority w:val="99"/>
    <w:rPr>
      <w:color w:val="605E5C"/>
      <w:shd w:val="clear" w:color="auto" w:fill="E1DFDD"/>
    </w:rPr>
  </w:style>
  <w:style w:type="character" w:customStyle="1" w:styleId="127">
    <w:name w:val="NormalCharacter"/>
    <w:link w:val="1"/>
    <w:qFormat/>
    <w:uiPriority w:val="0"/>
    <w:rPr>
      <w:rFonts w:ascii="Times New Roman" w:hAnsi="Times New Roman" w:eastAsia="宋体" w:cs="Times New Roman"/>
      <w:kern w:val="2"/>
      <w:sz w:val="21"/>
      <w:lang w:val="en-US" w:eastAsia="zh-CN" w:bidi="ar-SA"/>
    </w:rPr>
  </w:style>
  <w:style w:type="character" w:customStyle="1" w:styleId="128">
    <w:name w:val="hover1"/>
    <w:basedOn w:val="37"/>
    <w:qFormat/>
    <w:uiPriority w:val="0"/>
    <w:rPr>
      <w:color w:val="2590EB"/>
      <w:shd w:val="clear" w:fill="E9F4FD"/>
    </w:rPr>
  </w:style>
  <w:style w:type="character" w:customStyle="1" w:styleId="129">
    <w:name w:val="hover2"/>
    <w:basedOn w:val="37"/>
    <w:qFormat/>
    <w:uiPriority w:val="0"/>
    <w:rPr>
      <w:color w:val="2590EB"/>
    </w:rPr>
  </w:style>
  <w:style w:type="character" w:customStyle="1" w:styleId="130">
    <w:name w:val="hover3"/>
    <w:basedOn w:val="37"/>
    <w:qFormat/>
    <w:uiPriority w:val="0"/>
    <w:rPr>
      <w:color w:val="2590EB"/>
    </w:rPr>
  </w:style>
  <w:style w:type="character" w:customStyle="1" w:styleId="131">
    <w:name w:val="hover4"/>
    <w:basedOn w:val="37"/>
    <w:qFormat/>
    <w:uiPriority w:val="0"/>
  </w:style>
  <w:style w:type="character" w:customStyle="1" w:styleId="132">
    <w:name w:val="hover"/>
    <w:basedOn w:val="37"/>
    <w:qFormat/>
    <w:uiPriority w:val="0"/>
  </w:style>
  <w:style w:type="paragraph" w:customStyle="1" w:styleId="13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CDF53-A877-4735-BCB4-3C56E2EDB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13213</Words>
  <Characters>13755</Characters>
  <Lines>294</Lines>
  <Paragraphs>82</Paragraphs>
  <TotalTime>64</TotalTime>
  <ScaleCrop>false</ScaleCrop>
  <LinksUpToDate>false</LinksUpToDate>
  <CharactersWithSpaces>14828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2022-10-27T12:50:00Z</dcterms:created>
  <dc:creator>朱少尉</dc:creator>
  <cp:lastModifiedBy>吴丹</cp:lastModifiedBy>
  <cp:lastPrinted>2023-05-12T00:51:00Z</cp:lastPrinted>
  <dcterms:modified xsi:type="dcterms:W3CDTF">2023-08-28T07:59:40Z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302733F5B957457780DC8E8D62B569F6</vt:lpwstr>
  </property>
</Properties>
</file>