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霍山县清源供水有限责任公司2023-2024年度水质检测机构招标项目询价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6"/>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霍山县清源供水有限责任公司2023-2024年度水质检测机构招标项目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HSYD-2023-1202</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霍山县清源供水有限责任公司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二三</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十二月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bookmarkStart w:id="0" w:name="_Toc11428_WPSOffice_Type1"/>
      <w:bookmarkStart w:id="1" w:name="_Toc216158623"/>
      <w:bookmarkStart w:id="2" w:name="_Toc363199264"/>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6"/>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霍山县清源供水有限责任公司2023-2024年度水质检测机构招标项目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霍山县清源供水有限责任公司2023-2024年度水质检测机构招标项目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霍山县清源供水有限责任公司</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霍山县清源供水有限责任公司2023-2024年度水质检测机构招标项目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eastAsia="宋体" w:cs="宋体"/>
          <w:i w:val="0"/>
          <w:caps w:val="0"/>
          <w:color w:val="auto"/>
          <w:spacing w:val="0"/>
          <w:sz w:val="21"/>
          <w:szCs w:val="21"/>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霍山县清源供水有限责任公司2023-2024年度水质检测机构招标项目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HSYD-2023-1202</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霍山县清源供水有限责任公司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资金资金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70000.00元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7、项目最高限价：70000.00元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自合同签订之日起一年，本项目采取一次招标三年沿用、实行一年一考核一签合同的办法。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霍山县清源供水有限责任公司2023-2024年度水质检测机构招标项目，具体工作内容详见采购文件和采购需求清单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2、供应商应具有独立法人资格，检测机构需通过CMA认证并具备相关检测能力（符合饮用水卫生标准GB5749-2022）；</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w:t>
      </w:r>
      <w:r>
        <w:rPr>
          <w:rFonts w:hint="eastAsia" w:ascii="宋体" w:hAnsi="宋体" w:cs="宋体"/>
          <w:i w:val="0"/>
          <w:caps w:val="0"/>
          <w:color w:val="auto"/>
          <w:spacing w:val="0"/>
          <w:sz w:val="21"/>
          <w:szCs w:val="21"/>
          <w:highlight w:val="none"/>
          <w:shd w:val="clear" w:color="auto" w:fill="FFFFFF"/>
          <w:lang w:eastAsia="zh-CN"/>
        </w:rPr>
        <w:t>2023年12月19日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2023年12月22日15时00分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w:t>
      </w:r>
      <w:bookmarkStart w:id="80" w:name="_GoBack"/>
      <w:bookmarkEnd w:id="80"/>
      <w:r>
        <w:rPr>
          <w:rFonts w:hint="eastAsia" w:ascii="宋体" w:hAnsi="宋体" w:cs="宋体"/>
          <w:i w:val="0"/>
          <w:caps w:val="0"/>
          <w:color w:val="auto"/>
          <w:spacing w:val="0"/>
          <w:sz w:val="21"/>
          <w:szCs w:val="21"/>
          <w:highlight w:val="none"/>
          <w:shd w:val="clear" w:color="auto" w:fill="FFFFFF"/>
          <w:lang w:eastAsia="zh-CN"/>
        </w:rPr>
        <w:t>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2023年12月22日15时00分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霍山县清源供水有限责任公司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项女士</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17756479150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 xml:space="preserve">  霍山县清源供水有限责任公司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2023年12月19日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霍山县清源供水有限责任公司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项女士</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17756479150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霍山县清源供水有限责任公司2023-2024年度水质检测机构招标项目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HSYD-2023-1202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柒万元整（￥70000.00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合同签订后，每半年一结。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自合同签订之日起一年，本项目采取一次招标三年沿用、实行一年一考核一签合同的办法。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2023年12月22日15时00分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bCs/>
                <w:color w:val="000000"/>
                <w:highlight w:val="none"/>
                <w:lang w:val="en-US" w:eastAsia="zh-CN"/>
              </w:rPr>
            </w:pPr>
            <w:r>
              <w:rPr>
                <w:rFonts w:hint="eastAsia" w:ascii="宋体" w:hAnsi="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w:t>
            </w:r>
            <w:r>
              <w:rPr>
                <w:rFonts w:hint="eastAsia" w:ascii="宋体" w:hAnsi="宋体" w:eastAsia="宋体" w:cs="宋体"/>
                <w:b/>
                <w:bCs/>
                <w:color w:val="000000"/>
                <w:highlight w:val="none"/>
                <w:lang w:val="en-US" w:eastAsia="zh-CN"/>
              </w:rPr>
              <w:t>件也不予退还给投标人。</w:t>
            </w:r>
          </w:p>
          <w:p>
            <w:pPr>
              <w:adjustRightInd w:val="0"/>
              <w:snapToGrid w:val="0"/>
              <w:spacing w:line="360" w:lineRule="exact"/>
              <w:jc w:val="left"/>
              <w:rPr>
                <w:rFonts w:hint="eastAsia" w:eastAsia="宋体"/>
                <w:lang w:val="en-US" w:eastAsia="zh-CN"/>
              </w:rPr>
            </w:pPr>
            <w:r>
              <w:rPr>
                <w:rFonts w:hint="eastAsia" w:ascii="宋体" w:hAnsi="宋体" w:eastAsia="宋体" w:cs="宋体"/>
                <w:b/>
                <w:bCs/>
                <w:color w:val="000000"/>
                <w:highlight w:val="none"/>
                <w:lang w:val="en-US" w:eastAsia="zh-CN"/>
              </w:rPr>
              <w:t>3、提交询价文件的供应商少于三个的，采购人将依法重新询价或按相关文件执行。公开招标限额以下招标采购项目，询价文件没有不合理条款的，凡经公开挂网后，有三家及以上供应商的，正常开标；只有两家供应商的，现场转为竞争谈判；仅有一家供应商的，直接转为单源直接采购。</w:t>
            </w:r>
          </w:p>
        </w:tc>
      </w:tr>
    </w:tbl>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438648662"/>
      <w:bookmarkStart w:id="14" w:name="_Toc363199266"/>
      <w:bookmarkStart w:id="15" w:name="_Toc12806"/>
      <w:bookmarkStart w:id="16" w:name="_Toc216158625"/>
      <w:r>
        <w:rPr>
          <w:rFonts w:hint="eastAsia"/>
          <w:color w:val="auto"/>
          <w:sz w:val="24"/>
          <w:szCs w:val="24"/>
          <w:highlight w:val="none"/>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霍山县清源供水有限责任公司</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霍山县清源供水有限责任公司</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ascii="宋体" w:hAnsi="宋体" w:eastAsia="宋体" w:cs="宋体"/>
          <w:b/>
          <w:color w:val="auto"/>
          <w:kern w:val="0"/>
          <w:sz w:val="30"/>
          <w:szCs w:val="30"/>
          <w:highlight w:val="none"/>
          <w:lang w:val="en-US" w:eastAsia="zh-CN" w:bidi="ar-SA"/>
        </w:rPr>
      </w:pPr>
      <w:bookmarkStart w:id="31" w:name="_Toc8300_WPSOffice_Level1"/>
      <w:bookmarkStart w:id="32" w:name="_Toc25805"/>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6484_WPSOffice_Level1"/>
      <w:bookmarkStart w:id="34" w:name="_Toc12757"/>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0"/>
        </w:numPr>
        <w:kinsoku/>
        <w:wordWrap/>
        <w:overflowPunct/>
        <w:topLinePunct w:val="0"/>
        <w:autoSpaceDE/>
        <w:autoSpaceDN/>
        <w:bidi w:val="0"/>
        <w:snapToGrid/>
        <w:spacing w:line="460" w:lineRule="exact"/>
        <w:jc w:val="center"/>
        <w:outlineLvl w:val="0"/>
        <w:rPr>
          <w:rFonts w:hint="eastAsia" w:ascii="宋体" w:hAnsi="宋体" w:eastAsia="宋体" w:cs="宋体"/>
          <w:b/>
          <w:bCs w:val="0"/>
          <w:kern w:val="2"/>
          <w:sz w:val="36"/>
          <w:szCs w:val="36"/>
          <w:lang w:val="en-US" w:eastAsia="zh-CN" w:bidi="ar-SA"/>
        </w:rPr>
      </w:pPr>
    </w:p>
    <w:p>
      <w:pPr>
        <w:pageBreakBefore w:val="0"/>
        <w:widowControl w:val="0"/>
        <w:numPr>
          <w:ilvl w:val="0"/>
          <w:numId w:val="0"/>
        </w:numPr>
        <w:kinsoku/>
        <w:wordWrap/>
        <w:overflowPunct/>
        <w:topLinePunct w:val="0"/>
        <w:autoSpaceDE/>
        <w:autoSpaceDN/>
        <w:bidi w:val="0"/>
        <w:snapToGrid/>
        <w:spacing w:line="460" w:lineRule="exact"/>
        <w:jc w:val="center"/>
        <w:outlineLvl w:val="0"/>
        <w:rPr>
          <w:rFonts w:hint="eastAsia" w:ascii="宋体" w:hAnsi="宋体" w:eastAsia="宋体" w:cs="宋体"/>
          <w:b/>
          <w:bCs w:val="0"/>
          <w:kern w:val="2"/>
          <w:sz w:val="36"/>
          <w:szCs w:val="36"/>
          <w:lang w:val="en-US" w:eastAsia="zh-CN" w:bidi="ar-SA"/>
        </w:rPr>
      </w:pPr>
    </w:p>
    <w:p>
      <w:pPr>
        <w:pageBreakBefore w:val="0"/>
        <w:widowControl w:val="0"/>
        <w:numPr>
          <w:ilvl w:val="0"/>
          <w:numId w:val="0"/>
        </w:numPr>
        <w:kinsoku/>
        <w:wordWrap/>
        <w:overflowPunct/>
        <w:topLinePunct w:val="0"/>
        <w:autoSpaceDE/>
        <w:autoSpaceDN/>
        <w:bidi w:val="0"/>
        <w:snapToGrid/>
        <w:spacing w:line="460" w:lineRule="exact"/>
        <w:jc w:val="center"/>
        <w:outlineLvl w:val="0"/>
        <w:rPr>
          <w:rFonts w:hint="eastAsia" w:ascii="宋体" w:hAnsi="宋体" w:eastAsia="宋体" w:cs="宋体"/>
          <w:b/>
          <w:bCs w:val="0"/>
          <w:kern w:val="2"/>
          <w:sz w:val="36"/>
          <w:szCs w:val="36"/>
          <w:lang w:val="en-US" w:eastAsia="zh-CN" w:bidi="ar-SA"/>
        </w:rPr>
      </w:pPr>
    </w:p>
    <w:p>
      <w:pPr>
        <w:pageBreakBefore w:val="0"/>
        <w:widowControl w:val="0"/>
        <w:numPr>
          <w:ilvl w:val="0"/>
          <w:numId w:val="0"/>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kern w:val="2"/>
          <w:sz w:val="36"/>
          <w:szCs w:val="36"/>
          <w:lang w:val="en-US" w:eastAsia="zh-CN" w:bidi="ar-SA"/>
        </w:rPr>
        <w:t>四、</w:t>
      </w:r>
      <w:r>
        <w:rPr>
          <w:rFonts w:hint="eastAsia" w:ascii="宋体" w:hAnsi="宋体" w:eastAsia="宋体" w:cs="宋体"/>
          <w:b/>
          <w:bCs w:val="0"/>
          <w:sz w:val="36"/>
          <w:szCs w:val="36"/>
          <w:highlight w:val="none"/>
          <w:lang w:eastAsia="zh-CN"/>
        </w:rPr>
        <w:t>采购需求</w:t>
      </w: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bookmarkStart w:id="36" w:name="_Toc11297"/>
      <w:bookmarkStart w:id="37" w:name="_Toc4288_WPSOffice_Level1"/>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6"/>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9"/>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5932"/>
      <w:bookmarkStart w:id="50" w:name="_Toc471299103"/>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31656"/>
      <w:bookmarkStart w:id="54" w:name="_Toc471299104"/>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3858_WPSOffice_Level1"/>
      <w:bookmarkStart w:id="59" w:name="_Toc516969098"/>
      <w:bookmarkStart w:id="60" w:name="_Toc148501698"/>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471299106"/>
      <w:bookmarkStart w:id="62" w:name="_Toc417045478"/>
      <w:bookmarkStart w:id="63" w:name="_Toc30711"/>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27567"/>
      <w:bookmarkStart w:id="71" w:name="_Toc471299110"/>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3085"/>
      <w:bookmarkStart w:id="77" w:name="_Toc19844_WPSOffice_Level1"/>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18"/>
        <w:rPr>
          <w:rFonts w:hint="eastAsia" w:ascii="宋体" w:hAnsi="宋体" w:cs="宋体"/>
          <w:b/>
          <w:bCs/>
          <w:color w:val="auto"/>
          <w:sz w:val="24"/>
          <w:szCs w:val="24"/>
          <w:highlight w:val="none"/>
        </w:rPr>
      </w:pPr>
      <w:bookmarkStart w:id="78"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0"/>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 w:name="KSO_WPS_MARK_KEY" w:val="75acd019-dc74-4cd6-a876-372720170ed6"/>
  </w:docVars>
  <w:rsids>
    <w:rsidRoot w:val="2F1C57A5"/>
    <w:rsid w:val="0003708B"/>
    <w:rsid w:val="001D4654"/>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0D4BE0"/>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263C4E"/>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5417DF"/>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51198"/>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3433D1"/>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81884"/>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EA7F71"/>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next w:val="1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表格文字"/>
    <w:basedOn w:val="1"/>
    <w:qFormat/>
    <w:uiPriority w:val="0"/>
    <w:pPr>
      <w:spacing w:line="360" w:lineRule="exact"/>
      <w:jc w:val="center"/>
    </w:pPr>
    <w:rPr>
      <w:szCs w:val="20"/>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qFormat/>
    <w:uiPriority w:val="0"/>
    <w:pPr>
      <w:spacing w:line="400" w:lineRule="atLeast"/>
      <w:ind w:firstLine="426"/>
    </w:pPr>
    <w:rPr>
      <w:rFonts w:ascii="Times New Roman" w:hAnsi="Times New Roman"/>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2023-12-19T01:18:23Z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83CF88A9210749FCA218DD0C051CCD1D</vt:lpwstr>
  </property>
</Properties>
</file>