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30"/>
        <w:jc w:val="center"/>
      </w:pPr>
      <w:r>
        <w:rPr>
          <w:rFonts w:hint="eastAsia" w:ascii="宋体" w:hAnsi="宋体"/>
          <w:b/>
          <w:sz w:val="40"/>
          <w:szCs w:val="40"/>
          <w:lang w:eastAsia="zh-CN"/>
        </w:rPr>
        <w:t>土地岭老路安防设施维护项目</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项目编号：HSYD-2023-1206</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霍山县地方公路管理局</w:t>
      </w:r>
    </w:p>
    <w:p>
      <w:pPr>
        <w:spacing w:line="360" w:lineRule="auto"/>
        <w:ind w:firstLine="2570" w:firstLineChars="800"/>
        <w:jc w:val="both"/>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jc w:val="both"/>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12</w:t>
      </w:r>
      <w:r>
        <w:rPr>
          <w:rFonts w:hint="eastAsia" w:ascii="宋体" w:hAnsi="宋体" w:cs="宋体"/>
          <w:b/>
          <w:bCs/>
          <w:color w:val="auto"/>
          <w:sz w:val="32"/>
          <w:szCs w:val="32"/>
        </w:rPr>
        <w:t>月</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363199264"/>
      <w:bookmarkStart w:id="3" w:name="_Toc216158623"/>
    </w:p>
    <w:p>
      <w:pPr>
        <w:pStyle w:val="6"/>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土地岭老路安防设施维护项目</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土地岭老路安防设施维护项目</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7"/>
          <w:rFonts w:hint="eastAsia" w:ascii="仿宋" w:hAnsi="仿宋" w:eastAsia="仿宋" w:cs="仿宋"/>
          <w:sz w:val="28"/>
          <w:szCs w:val="28"/>
          <w:lang w:eastAsia="zh-CN"/>
        </w:rPr>
        <w:t>www.hsydgczx.com</w:t>
      </w:r>
      <w:r>
        <w:rPr>
          <w:rStyle w:val="47"/>
          <w:rFonts w:hint="eastAsia" w:ascii="仿宋" w:hAnsi="仿宋" w:eastAsia="仿宋" w:cs="仿宋"/>
          <w:sz w:val="28"/>
          <w:szCs w:val="28"/>
        </w:rPr>
        <w:t>）获取采购文件，并于202</w:t>
      </w:r>
      <w:r>
        <w:rPr>
          <w:rStyle w:val="47"/>
          <w:rFonts w:hint="eastAsia" w:ascii="仿宋" w:hAnsi="仿宋" w:eastAsia="仿宋" w:cs="仿宋"/>
          <w:sz w:val="28"/>
          <w:szCs w:val="28"/>
          <w:lang w:val="en-US" w:eastAsia="zh-CN"/>
        </w:rPr>
        <w:t>3</w:t>
      </w:r>
      <w:r>
        <w:rPr>
          <w:rStyle w:val="47"/>
          <w:rFonts w:hint="eastAsia" w:ascii="仿宋" w:hAnsi="仿宋" w:eastAsia="仿宋" w:cs="仿宋"/>
          <w:sz w:val="28"/>
          <w:szCs w:val="28"/>
        </w:rPr>
        <w:t>年</w:t>
      </w:r>
      <w:r>
        <w:rPr>
          <w:rStyle w:val="47"/>
          <w:rFonts w:hint="eastAsia" w:ascii="仿宋" w:hAnsi="仿宋" w:eastAsia="仿宋" w:cs="仿宋"/>
          <w:sz w:val="28"/>
          <w:szCs w:val="28"/>
          <w:lang w:val="en-US" w:eastAsia="zh-CN"/>
        </w:rPr>
        <w:t>12</w:t>
      </w:r>
      <w:r>
        <w:rPr>
          <w:rStyle w:val="47"/>
          <w:rFonts w:hint="eastAsia" w:ascii="仿宋" w:hAnsi="仿宋" w:eastAsia="仿宋" w:cs="仿宋"/>
          <w:sz w:val="28"/>
          <w:szCs w:val="28"/>
        </w:rPr>
        <w:t>月</w:t>
      </w:r>
      <w:r>
        <w:rPr>
          <w:rStyle w:val="47"/>
          <w:rFonts w:hint="eastAsia" w:ascii="仿宋" w:hAnsi="仿宋" w:eastAsia="仿宋" w:cs="仿宋"/>
          <w:sz w:val="28"/>
          <w:szCs w:val="28"/>
        </w:rPr>
        <w:fldChar w:fldCharType="end"/>
      </w:r>
      <w:r>
        <w:rPr>
          <w:rStyle w:val="47"/>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15</w:t>
      </w:r>
      <w:bookmarkStart w:id="108" w:name="_GoBack"/>
      <w:bookmarkEnd w:id="108"/>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28359012"/>
      <w:bookmarkStart w:id="5" w:name="_Toc35393798"/>
      <w:bookmarkStart w:id="6" w:name="_Toc35393629"/>
      <w:bookmarkStart w:id="7" w:name="_Toc28359089"/>
      <w:bookmarkStart w:id="8" w:name="_Toc7777"/>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土地岭老路安防设施维护项目</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项目编号：HSYD-2023-1206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320376.00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290000.00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本项目位于霍山县漫水河镇。工程主要内容包括：波形梁钢护栏、道路交通标志、凸面镜等，具体详见工程量清单。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90"/>
      <w:bookmarkStart w:id="10" w:name="_Toc11070"/>
      <w:bookmarkStart w:id="11" w:name="_Toc35393799"/>
      <w:bookmarkStart w:id="12" w:name="_Toc28359013"/>
      <w:bookmarkStart w:id="13" w:name="_Toc3539363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备公路工程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拟派项目经理（建造师）应具有公路工程专业二级及以上注册建造师证书，并同时具有有效的</w:t>
      </w:r>
      <w:r>
        <w:rPr>
          <w:rFonts w:hint="eastAsia" w:ascii="仿宋" w:hAnsi="仿宋" w:eastAsia="仿宋" w:cs="仿宋"/>
          <w:sz w:val="28"/>
          <w:szCs w:val="28"/>
          <w:lang w:val="en-US" w:eastAsia="zh-CN"/>
        </w:rPr>
        <w:t>交通</w:t>
      </w:r>
      <w:r>
        <w:rPr>
          <w:rFonts w:hint="eastAsia" w:ascii="仿宋" w:hAnsi="仿宋" w:eastAsia="仿宋" w:cs="仿宋"/>
          <w:sz w:val="28"/>
          <w:szCs w:val="28"/>
          <w:lang w:eastAsia="zh-CN"/>
        </w:rPr>
        <w:t>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技术负责人必须是本单位工作人员。承包人需提供所属社保机构出具的包括谈判截止日所属月份（含）为基点起往前计算已经过去的连续5个月内不少于连续缴费3个月的拟委任的项目经理、技术负责人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15899"/>
      <w:bookmarkStart w:id="17" w:name="_Toc35393800"/>
      <w:bookmarkStart w:id="18" w:name="_Toc35393631"/>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801"/>
      <w:bookmarkStart w:id="20" w:name="_Toc35393632"/>
      <w:bookmarkStart w:id="21" w:name="_Toc28359092"/>
      <w:bookmarkStart w:id="22" w:name="_Toc28359015"/>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29</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28359093"/>
      <w:bookmarkStart w:id="25" w:name="_Toc28359016"/>
      <w:bookmarkStart w:id="26" w:name="_Toc31128"/>
      <w:bookmarkStart w:id="27" w:name="_Toc35393802"/>
      <w:bookmarkStart w:id="28" w:name="_Toc35393633"/>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35393634"/>
      <w:bookmarkStart w:id="30" w:name="_Toc35393803"/>
      <w:bookmarkStart w:id="31" w:name="_Toc28359094"/>
      <w:bookmarkStart w:id="32" w:name="_Toc28359017"/>
      <w:bookmarkStart w:id="33" w:name="_Toc25132"/>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28359018"/>
      <w:bookmarkStart w:id="38" w:name="_Toc35393805"/>
      <w:bookmarkStart w:id="39" w:name="_Toc35393636"/>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2"/>
        <w:rPr>
          <w:rFonts w:hint="default" w:eastAsia="仿宋"/>
          <w:lang w:val="en-US" w:eastAsia="zh-CN"/>
        </w:rPr>
      </w:pPr>
      <w:r>
        <w:rPr>
          <w:rFonts w:hint="eastAsia" w:eastAsia="仿宋"/>
          <w:lang w:val="en-US" w:eastAsia="zh-CN"/>
        </w:rPr>
        <w:t xml:space="preserve"> 5、</w:t>
      </w:r>
      <w:r>
        <w:rPr>
          <w:rFonts w:hint="eastAsia" w:ascii="仿宋" w:hAnsi="仿宋" w:eastAsia="仿宋" w:cs="仿宋"/>
          <w:kern w:val="2"/>
          <w:sz w:val="28"/>
          <w:szCs w:val="28"/>
          <w:lang w:val="en-US" w:eastAsia="zh-CN" w:bidi="ar-SA"/>
        </w:rPr>
        <w:t>经发包单位会议研究,本项目采用竞争性谈判方式发包，本次谈判根据财政部74号令第十二条采取发包人和评审专家分别书面推荐的方式推荐不少于3家符合相应资格条件的承包单位参与竞争性谈判，未收到邀请函的承包单位，响应无效。收到邀请函的企业因故不能参加本项目的，视为放弃本项目响应资格。收到邀请函的单位自行到霍山永达工程咨询有限公司（www.hsydgczx.com）下载本项目发包文件及工程量清单等其他文件。</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28359096"/>
      <w:bookmarkStart w:id="42" w:name="_Toc28359019"/>
      <w:bookmarkStart w:id="43" w:name="_Toc12167"/>
      <w:bookmarkStart w:id="44" w:name="_Toc35393637"/>
      <w:bookmarkStart w:id="45" w:name="_Toc35393806"/>
      <w:r>
        <w:rPr>
          <w:rFonts w:hint="eastAsia" w:ascii="仿宋" w:hAnsi="仿宋" w:eastAsia="仿宋" w:cs="仿宋"/>
          <w:b w:val="0"/>
          <w:bCs/>
          <w:sz w:val="28"/>
          <w:szCs w:val="28"/>
        </w:rPr>
        <w:t>1、采购人信息</w:t>
      </w:r>
      <w:bookmarkEnd w:id="41"/>
      <w:bookmarkEnd w:id="42"/>
      <w:bookmarkEnd w:id="43"/>
      <w:bookmarkEnd w:id="44"/>
      <w:bookmarkEnd w:id="45"/>
    </w:p>
    <w:p>
      <w:pPr>
        <w:spacing w:line="360" w:lineRule="auto"/>
        <w:ind w:firstLine="560" w:firstLineChars="200"/>
        <w:jc w:val="both"/>
        <w:rPr>
          <w:rFonts w:hint="eastAsia" w:ascii="仿宋" w:hAnsi="仿宋" w:eastAsia="仿宋" w:cs="仿宋"/>
          <w:b w:val="0"/>
          <w:bCs/>
          <w:kern w:val="0"/>
          <w:sz w:val="28"/>
          <w:szCs w:val="28"/>
          <w:lang w:val="en-US" w:eastAsia="zh-CN" w:bidi="ar-SA"/>
        </w:rPr>
      </w:pPr>
      <w:bookmarkStart w:id="46" w:name="_Toc28359097"/>
      <w:bookmarkStart w:id="47" w:name="_Toc28359020"/>
      <w:bookmarkStart w:id="48" w:name="_Toc35393638"/>
      <w:bookmarkStart w:id="49" w:name="_Toc35393807"/>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 w:val="0"/>
          <w:bCs/>
          <w:kern w:val="0"/>
          <w:sz w:val="28"/>
          <w:szCs w:val="28"/>
          <w:lang w:val="en-US" w:eastAsia="zh-CN" w:bidi="ar-SA"/>
        </w:rPr>
        <w:t>霍山县地方公路管理局</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衡山镇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0564-5022485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28359098"/>
      <w:bookmarkStart w:id="51" w:name="_Toc35393639"/>
      <w:bookmarkStart w:id="52" w:name="_Toc35393808"/>
      <w:bookmarkStart w:id="53" w:name="_Toc28359021"/>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26</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jc w:val="left"/>
              <w:rPr>
                <w:rFonts w:hint="eastAsia"/>
                <w:sz w:val="24"/>
                <w:szCs w:val="24"/>
                <w:lang w:val="en-US" w:eastAsia="zh-CN"/>
              </w:rPr>
            </w:pPr>
            <w:r>
              <w:rPr>
                <w:rFonts w:hint="eastAsia" w:ascii="宋体" w:hAnsi="宋体"/>
                <w:sz w:val="24"/>
                <w:szCs w:val="24"/>
                <w:lang w:eastAsia="zh-CN"/>
              </w:rPr>
              <w:t>霍山县地方公路管理局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土地岭老路安防设施维护项目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eastAsia"/>
                <w:szCs w:val="24"/>
                <w:lang w:val="en-US"/>
              </w:rPr>
              <w:t>付款方式：</w:t>
            </w:r>
            <w:r>
              <w:rPr>
                <w:rFonts w:hint="eastAsia"/>
                <w:szCs w:val="24"/>
                <w:lang w:val="en-US" w:eastAsia="zh-CN"/>
              </w:rPr>
              <w:t>工程进度款支付按已完成工程价款的 80%支付，工程工验收合格并经审计定案后付至审计定案价款的 98%，余款 2%缺陷期满后，无质量问题一次性无息付清(已提供现金转账、担保保函、保证保险、保函(含电子保)的，不再扣留)。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ascii="Times New Roman" w:hAnsi="Times New Roman" w:cs="Times New Roman"/>
                <w:b w:val="0"/>
                <w:bCs w:val="0"/>
                <w:kern w:val="0"/>
                <w:sz w:val="24"/>
                <w:szCs w:val="24"/>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w:t>
            </w:r>
            <w:r>
              <w:rPr>
                <w:rFonts w:hint="eastAsia" w:ascii="宋体" w:hAnsi="宋体"/>
                <w:bCs/>
                <w:kern w:val="2"/>
                <w:szCs w:val="24"/>
                <w:lang w:val="en-US" w:eastAsia="zh-CN"/>
              </w:rPr>
              <w:t>七</w:t>
            </w:r>
            <w:r>
              <w:rPr>
                <w:rFonts w:hint="eastAsia" w:ascii="宋体" w:hAnsi="宋体"/>
                <w:bCs/>
                <w:kern w:val="2"/>
                <w:szCs w:val="24"/>
              </w:rPr>
              <w:t>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4"/>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4"/>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9"/>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9"/>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2、供应商除配备1名项目经理外，还须配备技术负责人1名、施工员1名、安全员1名、质量员1名，响应文件中须载明上述人员；项目技术负责人应具有</w:t>
            </w:r>
            <w:r>
              <w:rPr>
                <w:rFonts w:hint="eastAsia" w:ascii="宋体" w:hAnsi="宋体" w:cs="宋体"/>
                <w:sz w:val="24"/>
                <w:szCs w:val="24"/>
                <w:lang w:val="en-US" w:eastAsia="zh-CN"/>
              </w:rPr>
              <w:t>公路工程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9"/>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bookmarkStart w:id="59" w:name="_Toc7878"/>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pStyle w:val="6"/>
        <w:spacing w:before="0" w:after="0" w:line="43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216158625"/>
      <w:bookmarkStart w:id="61" w:name="_Toc363199266"/>
      <w:bookmarkStart w:id="62"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6"/>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479" w:leftChars="228" w:firstLine="0" w:firstLineChars="0"/>
        <w:jc w:val="both"/>
        <w:textAlignment w:val="auto"/>
        <w:rPr>
          <w:rFonts w:ascii="宋体" w:hAnsi="宋体" w:cs="宋体"/>
          <w:color w:val="auto"/>
          <w:sz w:val="24"/>
          <w:szCs w:val="24"/>
        </w:rPr>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ascii="宋体" w:hAnsi="宋体" w:cs="宋体"/>
          <w:color w:val="auto"/>
          <w:sz w:val="24"/>
          <w:szCs w:val="24"/>
        </w:rPr>
        <w:t>第</w:t>
      </w:r>
      <w:r>
        <w:rPr>
          <w:rFonts w:hint="eastAsia" w:ascii="宋体" w:hAnsi="宋体" w:cs="宋体"/>
          <w:color w:val="auto"/>
          <w:sz w:val="24"/>
          <w:szCs w:val="24"/>
          <w:lang w:val="en-US" w:eastAsia="zh-CN"/>
        </w:rPr>
        <w:t>二</w:t>
      </w:r>
      <w:r>
        <w:rPr>
          <w:rFonts w:ascii="宋体" w:hAnsi="宋体" w:cs="宋体"/>
          <w:color w:val="auto"/>
          <w:sz w:val="24"/>
          <w:szCs w:val="24"/>
        </w:rPr>
        <w:t>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w:t>
      </w:r>
      <w:r>
        <w:rPr>
          <w:rFonts w:hint="eastAsia" w:ascii="宋体" w:hAnsi="宋体" w:cs="宋体"/>
          <w:color w:val="auto"/>
          <w:sz w:val="24"/>
          <w:szCs w:val="24"/>
          <w:lang w:val="en-US" w:eastAsia="zh-CN"/>
        </w:rPr>
        <w:t>得分最高</w:t>
      </w:r>
      <w:r>
        <w:rPr>
          <w:rFonts w:ascii="宋体" w:hAnsi="宋体" w:cs="宋体"/>
          <w:color w:val="auto"/>
          <w:sz w:val="24"/>
          <w:szCs w:val="24"/>
        </w:rPr>
        <w:t>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numPr>
          <w:ilvl w:val="0"/>
          <w:numId w:val="3"/>
        </w:numPr>
        <w:tabs>
          <w:tab w:val="left" w:pos="900"/>
        </w:tabs>
        <w:spacing w:line="430" w:lineRule="exact"/>
        <w:ind w:firstLine="480" w:firstLineChars="200"/>
        <w:rPr>
          <w:rFonts w:hint="eastAsia" w:ascii="宋体" w:hAnsi="宋体" w:eastAsia="宋体" w:cs="宋体"/>
          <w:sz w:val="24"/>
          <w:szCs w:val="24"/>
          <w:lang w:val="en-US" w:eastAsia="zh-CN"/>
        </w:rPr>
      </w:pPr>
      <w:r>
        <w:rPr>
          <w:rFonts w:hint="eastAsia" w:ascii="宋体" w:hAnsi="宋体"/>
          <w:sz w:val="24"/>
          <w:szCs w:val="24"/>
        </w:rPr>
        <w:t>供应商必须在规定的时间内将自己在谈判中作出的澄清、变动以及最终的报价，经法定代表人或被授权代表签字后，提交给谈判小组。</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hint="eastAsia"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0"/>
        <w:jc w:val="center"/>
        <w:rPr>
          <w:rFonts w:hint="eastAsia"/>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4"/>
        </w:numPr>
        <w:spacing w:before="0" w:after="0"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评分标准</w:t>
      </w:r>
    </w:p>
    <w:p>
      <w:pPr>
        <w:pStyle w:val="2"/>
        <w:ind w:firstLine="962" w:firstLineChars="401"/>
        <w:rPr>
          <w:rFonts w:hint="eastAsia" w:ascii="宋体" w:hAnsi="宋体" w:eastAsia="宋体" w:cs="Times New Roman"/>
          <w:bCs/>
          <w:sz w:val="24"/>
          <w:lang w:val="en-US" w:eastAsia="zh-CN"/>
        </w:rPr>
      </w:pPr>
      <w:r>
        <w:rPr>
          <w:rFonts w:hint="eastAsia" w:ascii="宋体" w:hAnsi="宋体" w:eastAsia="宋体" w:cs="Times New Roman"/>
          <w:bCs/>
          <w:sz w:val="24"/>
        </w:rPr>
        <w:t>采用最低评标价法。</w:t>
      </w:r>
    </w:p>
    <w:p>
      <w:pPr>
        <w:pStyle w:val="2"/>
        <w:rPr>
          <w:rFonts w:hint="eastAsia" w:ascii="宋体" w:hAnsi="宋体" w:eastAsia="宋体" w:cs="Times New Roman"/>
          <w:bCs/>
          <w:sz w:val="24"/>
        </w:rPr>
      </w:pPr>
      <w:r>
        <w:rPr>
          <w:rFonts w:hint="eastAsia" w:ascii="宋体" w:hAnsi="宋体" w:eastAsia="宋体" w:cs="Times New Roman"/>
          <w:bCs/>
          <w:sz w:val="24"/>
        </w:rPr>
        <w:t xml:space="preserve">    按照通过符合性评审，最终报价（第二轮报价）由低到高的顺序推荐3名成交候选人，其中承包报价最低者为成交人。如果通过符合性评审的承包人第二轮最低报价或次低报价出现两家或两家以上者，则采取发包人现场摇号方式确定成交人或成交候选人。</w:t>
      </w:r>
    </w:p>
    <w:p>
      <w:pPr>
        <w:pStyle w:val="2"/>
        <w:rPr>
          <w:rFonts w:hint="eastAsia" w:ascii="宋体" w:hAnsi="宋体" w:eastAsia="宋体" w:cs="Times New Roman"/>
          <w:bCs/>
          <w:kern w:val="2"/>
          <w:sz w:val="24"/>
          <w:szCs w:val="20"/>
          <w:lang w:val="en-US" w:eastAsia="zh-CN" w:bidi="ar-SA"/>
        </w:rPr>
      </w:pPr>
      <w:r>
        <w:rPr>
          <w:rFonts w:hint="eastAsia" w:ascii="宋体" w:hAnsi="宋体" w:eastAsia="宋体" w:cs="Times New Roman"/>
          <w:bCs/>
          <w:sz w:val="24"/>
        </w:rPr>
        <w:t xml:space="preserve">    本项目将对各承包人的谈判响应文件进行符合性评审，符合性评审通过的承包单位进入谈判环节。本次谈判只进行二轮报价，即各承包人在谈判前先在其密封标书中进行第一轮报价，第一轮报价高于控制价的按无效承包处理。谈判结束后，现场填写《最终承包报价书》。在谈判内容不做实质性变更及重大调整的前提下，承包人的第二轮报价不得高于或等于第一轮报价，否则按无效承包处理。承包人的第二轮报价为最终报价。</w:t>
      </w:r>
    </w:p>
    <w:p>
      <w:pPr>
        <w:pStyle w:val="6"/>
        <w:numPr>
          <w:ilvl w:val="0"/>
          <w:numId w:val="0"/>
        </w:numPr>
        <w:spacing w:before="0" w:after="0" w:line="560" w:lineRule="exact"/>
        <w:jc w:val="center"/>
        <w:rPr>
          <w:rFonts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lang w:val="en-US" w:eastAsia="zh-CN"/>
        </w:rPr>
        <w:t>五</w:t>
      </w:r>
      <w:r>
        <w:rPr>
          <w:rFonts w:hint="eastAsia" w:ascii="宋体" w:hAnsi="宋体" w:eastAsia="宋体" w:cs="宋体"/>
          <w:sz w:val="28"/>
          <w:szCs w:val="28"/>
        </w:rPr>
        <w:t>、响应文件格式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4"/>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4"/>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31020"/>
      <w:bookmarkStart w:id="83" w:name="_Toc1728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10696"/>
      <w:bookmarkStart w:id="86" w:name="_Toc3234"/>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0"/>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6"/>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5"/>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28850"/>
      <w:bookmarkStart w:id="105" w:name="_Toc19723"/>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23763"/>
      <w:bookmarkStart w:id="107" w:name="_Toc5314"/>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6"/>
        <w:spacing w:before="0" w:after="0" w:line="560" w:lineRule="exact"/>
        <w:rPr>
          <w:rStyle w:val="115"/>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5"/>
        <w:numPr>
          <w:ilvl w:val="0"/>
          <w:numId w:val="5"/>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620CB6-3837-44F1-97CF-B57537ECF3D4}"/>
  </w:font>
  <w:font w:name="黑体">
    <w:panose1 w:val="02010609060101010101"/>
    <w:charset w:val="86"/>
    <w:family w:val="auto"/>
    <w:pitch w:val="default"/>
    <w:sig w:usb0="800002BF" w:usb1="38CF7CFA" w:usb2="00000016" w:usb3="00000000" w:csb0="00040001" w:csb1="00000000"/>
    <w:embedRegular r:id="rId2" w:fontKey="{46BC81F9-7836-466A-BC62-D1F95FAA98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EA89971-3990-4946-9328-3F99E604DB2C}"/>
  </w:font>
  <w:font w:name="仿宋_GB2312">
    <w:panose1 w:val="02010609030101010101"/>
    <w:charset w:val="86"/>
    <w:family w:val="auto"/>
    <w:pitch w:val="default"/>
    <w:sig w:usb0="00000001" w:usb1="080E0000" w:usb2="00000000" w:usb3="00000000" w:csb0="00040000" w:csb1="00000000"/>
    <w:embedRegular r:id="rId4" w:fontKey="{0D22E3BA-B2BA-4833-A5CC-D0F15CC26638}"/>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C2FC6CE1-4B8A-4791-A84D-776C3A59506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A71CB062-CE22-4BAD-9131-82936B22ABA3}"/>
  </w:font>
  <w:font w:name="华文中宋">
    <w:panose1 w:val="02010600040101010101"/>
    <w:charset w:val="86"/>
    <w:family w:val="auto"/>
    <w:pitch w:val="default"/>
    <w:sig w:usb0="00000287" w:usb1="080F0000" w:usb2="00000000" w:usb3="00000000" w:csb0="0004009F" w:csb1="DFD70000"/>
    <w:embedRegular r:id="rId7" w:fontKey="{5BA04B7F-2300-41F5-A314-61D890C1DDF3}"/>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30</w:t>
    </w:r>
    <w:r>
      <w:rPr>
        <w:rStyle w:val="40"/>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F65D9C4D"/>
    <w:multiLevelType w:val="singleLevel"/>
    <w:tmpl w:val="F65D9C4D"/>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17E92CA"/>
    <w:multiLevelType w:val="singleLevel"/>
    <w:tmpl w:val="517E92CA"/>
    <w:lvl w:ilvl="0" w:tentative="0">
      <w:start w:val="7"/>
      <w:numFmt w:val="decimal"/>
      <w:suff w:val="nothing"/>
      <w:lvlText w:val="%1、"/>
      <w:lvlJc w:val="left"/>
    </w:lvl>
  </w:abstractNum>
  <w:abstractNum w:abstractNumId="4">
    <w:nsid w:val="606AFB53"/>
    <w:multiLevelType w:val="singleLevel"/>
    <w:tmpl w:val="606AFB53"/>
    <w:lvl w:ilvl="0" w:tentative="0">
      <w:start w:val="2"/>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8D5402"/>
    <w:rsid w:val="03B22505"/>
    <w:rsid w:val="03D23972"/>
    <w:rsid w:val="03FE01E1"/>
    <w:rsid w:val="04067181"/>
    <w:rsid w:val="046E3E44"/>
    <w:rsid w:val="047F6792"/>
    <w:rsid w:val="04D806FC"/>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3D797F"/>
    <w:rsid w:val="0A424E4D"/>
    <w:rsid w:val="0AB47D8E"/>
    <w:rsid w:val="0AF769CE"/>
    <w:rsid w:val="0AF82AC1"/>
    <w:rsid w:val="0B005469"/>
    <w:rsid w:val="0B66533A"/>
    <w:rsid w:val="0B84414D"/>
    <w:rsid w:val="0BC7245A"/>
    <w:rsid w:val="0BD46BAD"/>
    <w:rsid w:val="0BE120B2"/>
    <w:rsid w:val="0CAA47CE"/>
    <w:rsid w:val="0CD37BD1"/>
    <w:rsid w:val="0CEC43CA"/>
    <w:rsid w:val="0CF93B4B"/>
    <w:rsid w:val="0D50431A"/>
    <w:rsid w:val="0D6921B0"/>
    <w:rsid w:val="0DD645B4"/>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5282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37500"/>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E916A5"/>
    <w:rsid w:val="20F41885"/>
    <w:rsid w:val="210B1F77"/>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C63AA8"/>
    <w:rsid w:val="29E26463"/>
    <w:rsid w:val="2A07065D"/>
    <w:rsid w:val="2A0A08C3"/>
    <w:rsid w:val="2A534564"/>
    <w:rsid w:val="2A573A70"/>
    <w:rsid w:val="2AE267A7"/>
    <w:rsid w:val="2B404B09"/>
    <w:rsid w:val="2B6E6470"/>
    <w:rsid w:val="2BFA65A3"/>
    <w:rsid w:val="2BFF63EA"/>
    <w:rsid w:val="2C101F53"/>
    <w:rsid w:val="2C6B1CD2"/>
    <w:rsid w:val="2C8F0922"/>
    <w:rsid w:val="2CA521C2"/>
    <w:rsid w:val="2CBD48CE"/>
    <w:rsid w:val="2CE211B2"/>
    <w:rsid w:val="2D657944"/>
    <w:rsid w:val="2DBD5025"/>
    <w:rsid w:val="2E015B36"/>
    <w:rsid w:val="2E256B75"/>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786EF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331FAA"/>
    <w:rsid w:val="36370E76"/>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9A23F3"/>
    <w:rsid w:val="3FE57CA4"/>
    <w:rsid w:val="402E1B38"/>
    <w:rsid w:val="405A4873"/>
    <w:rsid w:val="406022E2"/>
    <w:rsid w:val="407B3EBF"/>
    <w:rsid w:val="40BE5142"/>
    <w:rsid w:val="40DF693D"/>
    <w:rsid w:val="40EE5020"/>
    <w:rsid w:val="40F16A8E"/>
    <w:rsid w:val="411C5418"/>
    <w:rsid w:val="412545BE"/>
    <w:rsid w:val="41314E40"/>
    <w:rsid w:val="41821547"/>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767D68"/>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1662E"/>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9835D0"/>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014E5D"/>
    <w:rsid w:val="576F1E6E"/>
    <w:rsid w:val="5772766D"/>
    <w:rsid w:val="581D5AED"/>
    <w:rsid w:val="586D09FC"/>
    <w:rsid w:val="58BD10F2"/>
    <w:rsid w:val="58CD33C2"/>
    <w:rsid w:val="596469D4"/>
    <w:rsid w:val="59BD375F"/>
    <w:rsid w:val="5A026F22"/>
    <w:rsid w:val="5A275503"/>
    <w:rsid w:val="5A287B63"/>
    <w:rsid w:val="5A435D8A"/>
    <w:rsid w:val="5A57530F"/>
    <w:rsid w:val="5AC60A34"/>
    <w:rsid w:val="5BBC1D09"/>
    <w:rsid w:val="5C34380B"/>
    <w:rsid w:val="5C441E45"/>
    <w:rsid w:val="5CA60A0C"/>
    <w:rsid w:val="5CBA4C19"/>
    <w:rsid w:val="5D194289"/>
    <w:rsid w:val="5D2C4636"/>
    <w:rsid w:val="5D8C2B4C"/>
    <w:rsid w:val="5DC32E71"/>
    <w:rsid w:val="5E402B64"/>
    <w:rsid w:val="5E473A9D"/>
    <w:rsid w:val="5E94654C"/>
    <w:rsid w:val="5EE96902"/>
    <w:rsid w:val="5F001951"/>
    <w:rsid w:val="5F724B4A"/>
    <w:rsid w:val="5F751F44"/>
    <w:rsid w:val="5F7B4311"/>
    <w:rsid w:val="5F912AC4"/>
    <w:rsid w:val="5FA35FE5"/>
    <w:rsid w:val="5FD14724"/>
    <w:rsid w:val="600C4824"/>
    <w:rsid w:val="60153D3C"/>
    <w:rsid w:val="60700F30"/>
    <w:rsid w:val="607B7DDA"/>
    <w:rsid w:val="60E87B88"/>
    <w:rsid w:val="60F36AC5"/>
    <w:rsid w:val="61A76748"/>
    <w:rsid w:val="61D91A2E"/>
    <w:rsid w:val="62900431"/>
    <w:rsid w:val="62A607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BC2255D"/>
    <w:rsid w:val="7C013D85"/>
    <w:rsid w:val="7C662C4B"/>
    <w:rsid w:val="7CB32C8C"/>
    <w:rsid w:val="7D241628"/>
    <w:rsid w:val="7D690EE2"/>
    <w:rsid w:val="7D733ECF"/>
    <w:rsid w:val="7D851A94"/>
    <w:rsid w:val="7DB40A20"/>
    <w:rsid w:val="7DC2451F"/>
    <w:rsid w:val="7DCE57EF"/>
    <w:rsid w:val="7DE7143A"/>
    <w:rsid w:val="7E136A50"/>
    <w:rsid w:val="7E410F70"/>
    <w:rsid w:val="7E49765A"/>
    <w:rsid w:val="7E4C0FEB"/>
    <w:rsid w:val="7EA857C5"/>
    <w:rsid w:val="7EB42037"/>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8"/>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autoRedefine/>
    <w:qFormat/>
    <w:uiPriority w:val="0"/>
    <w:pPr>
      <w:keepNext/>
      <w:outlineLvl w:val="0"/>
    </w:pPr>
    <w:rPr>
      <w:sz w:val="28"/>
      <w:szCs w:val="24"/>
    </w:rPr>
  </w:style>
  <w:style w:type="paragraph" w:styleId="6">
    <w:name w:val="heading 2"/>
    <w:basedOn w:val="1"/>
    <w:next w:val="1"/>
    <w:link w:val="115"/>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1"/>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2"/>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75"/>
    <w:autoRedefine/>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qFormat/>
    <w:uiPriority w:val="0"/>
    <w:pPr>
      <w:ind w:left="2520" w:leftChars="1200"/>
    </w:pPr>
  </w:style>
  <w:style w:type="paragraph" w:styleId="10">
    <w:name w:val="Document Map"/>
    <w:basedOn w:val="1"/>
    <w:link w:val="86"/>
    <w:autoRedefine/>
    <w:qFormat/>
    <w:uiPriority w:val="0"/>
    <w:pPr>
      <w:shd w:val="clear" w:color="auto" w:fill="000080"/>
    </w:pPr>
  </w:style>
  <w:style w:type="paragraph" w:styleId="11">
    <w:name w:val="annotation text"/>
    <w:basedOn w:val="1"/>
    <w:link w:val="80"/>
    <w:autoRedefine/>
    <w:semiHidden/>
    <w:qFormat/>
    <w:uiPriority w:val="99"/>
    <w:pPr>
      <w:jc w:val="left"/>
    </w:pPr>
  </w:style>
  <w:style w:type="paragraph" w:styleId="12">
    <w:name w:val="Body Text 3"/>
    <w:basedOn w:val="1"/>
    <w:link w:val="100"/>
    <w:autoRedefine/>
    <w:unhideWhenUsed/>
    <w:qFormat/>
    <w:uiPriority w:val="99"/>
    <w:pPr>
      <w:spacing w:after="120"/>
    </w:pPr>
    <w:rPr>
      <w:rFonts w:ascii="Calibri" w:hAnsi="Calibri"/>
      <w:sz w:val="16"/>
      <w:szCs w:val="16"/>
      <w:lang w:val="zh-CN"/>
    </w:rPr>
  </w:style>
  <w:style w:type="paragraph" w:styleId="13">
    <w:name w:val="Body Text Indent"/>
    <w:basedOn w:val="1"/>
    <w:next w:val="14"/>
    <w:link w:val="64"/>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autoRedefine/>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83"/>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3"/>
    <w:autoRedefine/>
    <w:qFormat/>
    <w:uiPriority w:val="0"/>
    <w:rPr>
      <w:rFonts w:ascii="Arial" w:hAnsi="Arial" w:eastAsia="楷体_GB2312"/>
      <w:sz w:val="28"/>
    </w:rPr>
  </w:style>
  <w:style w:type="paragraph" w:styleId="20">
    <w:name w:val="Body Text Indent 2"/>
    <w:basedOn w:val="1"/>
    <w:link w:val="66"/>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link w:val="72"/>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1"/>
    <w:next w:val="11"/>
    <w:link w:val="81"/>
    <w:autoRedefine/>
    <w:semiHidden/>
    <w:qFormat/>
    <w:uiPriority w:val="99"/>
    <w:rPr>
      <w:b/>
      <w:bCs/>
    </w:rPr>
  </w:style>
  <w:style w:type="paragraph" w:styleId="35">
    <w:name w:val="Body Text First Indent 2"/>
    <w:basedOn w:val="13"/>
    <w:next w:val="1"/>
    <w:autoRedefine/>
    <w:qFormat/>
    <w:uiPriority w:val="0"/>
    <w:pPr>
      <w:spacing w:line="360" w:lineRule="auto"/>
      <w:jc w:val="left"/>
    </w:pPr>
    <w:rPr>
      <w:rFonts w:cs="宋体"/>
      <w:sz w:val="28"/>
      <w:szCs w:val="28"/>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b/>
      <w:b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qFormat/>
    <w:uiPriority w:val="99"/>
    <w:rPr>
      <w:color w:val="333333"/>
      <w:u w:val="none"/>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autoRedefine/>
    <w:semiHidden/>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style4"/>
    <w:basedOn w:val="1"/>
    <w:next w:val="54"/>
    <w:autoRedefine/>
    <w:qFormat/>
    <w:uiPriority w:val="0"/>
    <w:pPr>
      <w:widowControl/>
      <w:spacing w:before="280" w:after="280"/>
    </w:pPr>
    <w:rPr>
      <w:rFonts w:ascii="宋体"/>
      <w:sz w:val="18"/>
    </w:rPr>
  </w:style>
  <w:style w:type="paragraph" w:customStyle="1" w:styleId="5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
    <w:name w:val="列出段落1"/>
    <w:basedOn w:val="1"/>
    <w:autoRedefine/>
    <w:qFormat/>
    <w:uiPriority w:val="0"/>
    <w:pPr>
      <w:ind w:firstLine="420" w:firstLineChars="200"/>
    </w:pPr>
    <w:rPr>
      <w:rFonts w:ascii="Calibri" w:hAnsi="Calibri"/>
      <w:szCs w:val="22"/>
    </w:rPr>
  </w:style>
  <w:style w:type="paragraph" w:customStyle="1" w:styleId="56">
    <w:name w:val="目录 71"/>
    <w:basedOn w:val="1"/>
    <w:next w:val="1"/>
    <w:autoRedefine/>
    <w:qFormat/>
    <w:uiPriority w:val="0"/>
    <w:pPr>
      <w:ind w:left="2520"/>
    </w:pPr>
    <w:rPr>
      <w:rFonts w:ascii="Calibri"/>
    </w:rPr>
  </w:style>
  <w:style w:type="character" w:customStyle="1" w:styleId="57">
    <w:name w:val="页眉 字符"/>
    <w:basedOn w:val="38"/>
    <w:link w:val="23"/>
    <w:autoRedefine/>
    <w:qFormat/>
    <w:uiPriority w:val="0"/>
    <w:rPr>
      <w:sz w:val="18"/>
      <w:szCs w:val="18"/>
    </w:rPr>
  </w:style>
  <w:style w:type="character" w:customStyle="1" w:styleId="58">
    <w:name w:val="页脚 字符"/>
    <w:basedOn w:val="38"/>
    <w:link w:val="22"/>
    <w:autoRedefine/>
    <w:qFormat/>
    <w:uiPriority w:val="0"/>
    <w:rPr>
      <w:sz w:val="18"/>
      <w:szCs w:val="18"/>
    </w:rPr>
  </w:style>
  <w:style w:type="character" w:customStyle="1" w:styleId="59">
    <w:name w:val="标题 1 字符"/>
    <w:basedOn w:val="38"/>
    <w:link w:val="5"/>
    <w:autoRedefine/>
    <w:qFormat/>
    <w:uiPriority w:val="0"/>
    <w:rPr>
      <w:rFonts w:ascii="Times New Roman" w:hAnsi="Times New Roman" w:eastAsia="宋体" w:cs="Times New Roman"/>
      <w:sz w:val="28"/>
      <w:szCs w:val="24"/>
    </w:rPr>
  </w:style>
  <w:style w:type="character" w:customStyle="1" w:styleId="60">
    <w:name w:val="标题 2 Char"/>
    <w:basedOn w:val="38"/>
    <w:autoRedefine/>
    <w:qFormat/>
    <w:uiPriority w:val="0"/>
    <w:rPr>
      <w:rFonts w:ascii="Arial" w:hAnsi="Arial" w:eastAsia="黑体" w:cs="Times New Roman"/>
      <w:b/>
      <w:kern w:val="0"/>
      <w:sz w:val="32"/>
      <w:szCs w:val="20"/>
    </w:rPr>
  </w:style>
  <w:style w:type="character" w:customStyle="1" w:styleId="61">
    <w:name w:val="标题 3 字符"/>
    <w:basedOn w:val="38"/>
    <w:link w:val="7"/>
    <w:autoRedefine/>
    <w:qFormat/>
    <w:uiPriority w:val="0"/>
    <w:rPr>
      <w:rFonts w:ascii="Times New Roman" w:hAnsi="Times New Roman" w:eastAsia="宋体" w:cs="Times New Roman"/>
      <w:b/>
      <w:bCs/>
      <w:sz w:val="32"/>
      <w:szCs w:val="32"/>
      <w:lang w:val="zh-CN" w:eastAsia="zh-CN"/>
    </w:rPr>
  </w:style>
  <w:style w:type="character" w:customStyle="1" w:styleId="62">
    <w:name w:val="标题 4 字符"/>
    <w:basedOn w:val="38"/>
    <w:link w:val="8"/>
    <w:autoRedefine/>
    <w:qFormat/>
    <w:uiPriority w:val="0"/>
    <w:rPr>
      <w:rFonts w:ascii="Arial" w:hAnsi="Arial" w:eastAsia="黑体" w:cs="Times New Roman"/>
      <w:b/>
      <w:kern w:val="0"/>
      <w:sz w:val="28"/>
      <w:szCs w:val="20"/>
    </w:rPr>
  </w:style>
  <w:style w:type="character" w:customStyle="1" w:styleId="63">
    <w:name w:val="日期 字符"/>
    <w:basedOn w:val="38"/>
    <w:link w:val="19"/>
    <w:autoRedefine/>
    <w:qFormat/>
    <w:uiPriority w:val="0"/>
    <w:rPr>
      <w:rFonts w:ascii="Arial" w:hAnsi="Arial" w:eastAsia="楷体_GB2312" w:cs="Times New Roman"/>
      <w:sz w:val="28"/>
      <w:szCs w:val="20"/>
    </w:rPr>
  </w:style>
  <w:style w:type="character" w:customStyle="1" w:styleId="64">
    <w:name w:val="正文文本缩进 字符"/>
    <w:basedOn w:val="38"/>
    <w:link w:val="13"/>
    <w:autoRedefine/>
    <w:qFormat/>
    <w:uiPriority w:val="0"/>
    <w:rPr>
      <w:rFonts w:ascii="Times New Roman" w:hAnsi="Times New Roman" w:eastAsia="仿宋_GB2312" w:cs="Times New Roman"/>
      <w:sz w:val="28"/>
      <w:szCs w:val="20"/>
    </w:rPr>
  </w:style>
  <w:style w:type="paragraph" w:customStyle="1" w:styleId="65">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2 字符"/>
    <w:basedOn w:val="38"/>
    <w:link w:val="20"/>
    <w:autoRedefine/>
    <w:qFormat/>
    <w:uiPriority w:val="0"/>
    <w:rPr>
      <w:rFonts w:ascii="Times New Roman" w:hAnsi="Times New Roman" w:eastAsia="仿宋_GB2312" w:cs="Times New Roman"/>
      <w:sz w:val="28"/>
      <w:szCs w:val="20"/>
    </w:rPr>
  </w:style>
  <w:style w:type="paragraph" w:customStyle="1" w:styleId="67">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8">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9">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70">
    <w:name w:val="Char Char Char Char Char"/>
    <w:basedOn w:val="1"/>
    <w:autoRedefine/>
    <w:qFormat/>
    <w:uiPriority w:val="0"/>
    <w:rPr>
      <w:rFonts w:ascii="Tahoma" w:hAnsi="Tahoma"/>
      <w:sz w:val="24"/>
    </w:rPr>
  </w:style>
  <w:style w:type="paragraph" w:customStyle="1" w:styleId="71">
    <w:name w:val="Char"/>
    <w:basedOn w:val="1"/>
    <w:autoRedefine/>
    <w:qFormat/>
    <w:uiPriority w:val="0"/>
    <w:rPr>
      <w:rFonts w:ascii="Tahoma" w:hAnsi="Tahoma"/>
      <w:sz w:val="24"/>
    </w:rPr>
  </w:style>
  <w:style w:type="character" w:customStyle="1" w:styleId="72">
    <w:name w:val="正文文本缩进 3 字符"/>
    <w:basedOn w:val="38"/>
    <w:link w:val="27"/>
    <w:autoRedefine/>
    <w:qFormat/>
    <w:uiPriority w:val="0"/>
    <w:rPr>
      <w:rFonts w:ascii="仿宋_GB2312" w:hAnsi="Arial" w:eastAsia="仿宋_GB2312" w:cs="Times New Roman"/>
      <w:sz w:val="28"/>
      <w:szCs w:val="24"/>
    </w:rPr>
  </w:style>
  <w:style w:type="paragraph" w:customStyle="1" w:styleId="73">
    <w:name w:val="Char1"/>
    <w:basedOn w:val="1"/>
    <w:autoRedefine/>
    <w:qFormat/>
    <w:uiPriority w:val="0"/>
    <w:rPr>
      <w:rFonts w:ascii="Tahoma" w:hAnsi="Tahoma" w:eastAsia="仿宋_GB2312"/>
      <w:sz w:val="24"/>
    </w:rPr>
  </w:style>
  <w:style w:type="paragraph" w:customStyle="1" w:styleId="74">
    <w:name w:val="Char Char Char Char Char Char Char1 Char"/>
    <w:basedOn w:val="1"/>
    <w:autoRedefine/>
    <w:qFormat/>
    <w:uiPriority w:val="0"/>
    <w:rPr>
      <w:rFonts w:ascii="Tahoma" w:hAnsi="Tahoma"/>
      <w:sz w:val="24"/>
    </w:rPr>
  </w:style>
  <w:style w:type="character" w:customStyle="1" w:styleId="75">
    <w:name w:val="正文文本 字符"/>
    <w:basedOn w:val="38"/>
    <w:link w:val="3"/>
    <w:autoRedefine/>
    <w:qFormat/>
    <w:uiPriority w:val="0"/>
    <w:rPr>
      <w:rFonts w:ascii="Times New Roman" w:hAnsi="Times New Roman" w:eastAsia="宋体" w:cs="Times New Roman"/>
      <w:szCs w:val="24"/>
    </w:rPr>
  </w:style>
  <w:style w:type="paragraph" w:customStyle="1" w:styleId="76">
    <w:name w:val="Char Char Char Char"/>
    <w:basedOn w:val="1"/>
    <w:next w:val="1"/>
    <w:autoRedefine/>
    <w:qFormat/>
    <w:uiPriority w:val="0"/>
    <w:pPr>
      <w:widowControl/>
      <w:spacing w:line="360" w:lineRule="auto"/>
      <w:jc w:val="left"/>
    </w:pPr>
  </w:style>
  <w:style w:type="character" w:customStyle="1" w:styleId="77">
    <w:name w:val="批注框文本 字符"/>
    <w:basedOn w:val="38"/>
    <w:link w:val="21"/>
    <w:autoRedefine/>
    <w:qFormat/>
    <w:uiPriority w:val="0"/>
    <w:rPr>
      <w:rFonts w:ascii="Times New Roman" w:hAnsi="Times New Roman" w:eastAsia="宋体" w:cs="Times New Roman"/>
      <w:sz w:val="18"/>
      <w:szCs w:val="18"/>
    </w:rPr>
  </w:style>
  <w:style w:type="paragraph" w:customStyle="1" w:styleId="78">
    <w:name w:val="Char Char Char"/>
    <w:basedOn w:val="1"/>
    <w:autoRedefine/>
    <w:qFormat/>
    <w:uiPriority w:val="0"/>
    <w:rPr>
      <w:rFonts w:ascii="Tahoma" w:hAnsi="Tahoma"/>
      <w:sz w:val="24"/>
    </w:rPr>
  </w:style>
  <w:style w:type="paragraph" w:customStyle="1" w:styleId="79">
    <w:name w:val="Char Char Char Char Char Char Char Char Char Char"/>
    <w:basedOn w:val="1"/>
    <w:autoRedefine/>
    <w:qFormat/>
    <w:uiPriority w:val="0"/>
    <w:rPr>
      <w:rFonts w:ascii="Tahoma" w:hAnsi="Tahoma" w:cs="仿宋_GB2312"/>
      <w:sz w:val="24"/>
    </w:rPr>
  </w:style>
  <w:style w:type="character" w:customStyle="1" w:styleId="80">
    <w:name w:val="批注文字 字符"/>
    <w:basedOn w:val="38"/>
    <w:link w:val="11"/>
    <w:autoRedefine/>
    <w:semiHidden/>
    <w:qFormat/>
    <w:uiPriority w:val="99"/>
    <w:rPr>
      <w:rFonts w:ascii="Times New Roman" w:hAnsi="Times New Roman" w:eastAsia="宋体" w:cs="Times New Roman"/>
      <w:szCs w:val="20"/>
    </w:rPr>
  </w:style>
  <w:style w:type="character" w:customStyle="1" w:styleId="81">
    <w:name w:val="批注主题 字符"/>
    <w:basedOn w:val="80"/>
    <w:link w:val="34"/>
    <w:autoRedefine/>
    <w:semiHidden/>
    <w:qFormat/>
    <w:uiPriority w:val="99"/>
    <w:rPr>
      <w:rFonts w:ascii="Times New Roman" w:hAnsi="Times New Roman" w:eastAsia="宋体" w:cs="Times New Roman"/>
      <w:b/>
      <w:bCs/>
      <w:szCs w:val="20"/>
    </w:rPr>
  </w:style>
  <w:style w:type="paragraph" w:customStyle="1" w:styleId="82">
    <w:name w:val="Char Char Char Char Char Char"/>
    <w:basedOn w:val="1"/>
    <w:autoRedefine/>
    <w:qFormat/>
    <w:uiPriority w:val="0"/>
  </w:style>
  <w:style w:type="character" w:customStyle="1" w:styleId="83">
    <w:name w:val="纯文本 字符"/>
    <w:link w:val="17"/>
    <w:autoRedefine/>
    <w:qFormat/>
    <w:uiPriority w:val="0"/>
    <w:rPr>
      <w:rFonts w:ascii="宋体" w:hAnsi="Courier New" w:eastAsia="宋体"/>
    </w:rPr>
  </w:style>
  <w:style w:type="character" w:customStyle="1" w:styleId="84">
    <w:name w:val="纯文本 Char1"/>
    <w:basedOn w:val="38"/>
    <w:autoRedefine/>
    <w:semiHidden/>
    <w:qFormat/>
    <w:uiPriority w:val="99"/>
    <w:rPr>
      <w:rFonts w:ascii="宋体" w:hAnsi="Courier New" w:eastAsia="宋体" w:cs="Courier New"/>
      <w:szCs w:val="21"/>
    </w:rPr>
  </w:style>
  <w:style w:type="paragraph" w:customStyle="1" w:styleId="85">
    <w:name w:val="Char12 Char Char Char"/>
    <w:basedOn w:val="1"/>
    <w:autoRedefine/>
    <w:qFormat/>
    <w:uiPriority w:val="0"/>
  </w:style>
  <w:style w:type="character" w:customStyle="1" w:styleId="86">
    <w:name w:val="文档结构图 字符"/>
    <w:basedOn w:val="38"/>
    <w:link w:val="10"/>
    <w:autoRedefine/>
    <w:qFormat/>
    <w:uiPriority w:val="0"/>
    <w:rPr>
      <w:rFonts w:ascii="Times New Roman" w:hAnsi="Times New Roman" w:eastAsia="宋体" w:cs="Times New Roman"/>
      <w:szCs w:val="20"/>
      <w:shd w:val="clear" w:color="auto" w:fill="000080"/>
    </w:rPr>
  </w:style>
  <w:style w:type="character" w:customStyle="1" w:styleId="87">
    <w:name w:val="style29"/>
    <w:autoRedefine/>
    <w:qFormat/>
    <w:uiPriority w:val="0"/>
  </w:style>
  <w:style w:type="character" w:customStyle="1" w:styleId="88">
    <w:name w:val="正文1"/>
    <w:autoRedefine/>
    <w:qFormat/>
    <w:uiPriority w:val="0"/>
  </w:style>
  <w:style w:type="character" w:customStyle="1" w:styleId="89">
    <w:name w:val="font11"/>
    <w:autoRedefine/>
    <w:qFormat/>
    <w:uiPriority w:val="0"/>
    <w:rPr>
      <w:rFonts w:hint="default" w:ascii="Times New Roman" w:hAnsi="Times New Roman" w:cs="Times New Roman"/>
      <w:color w:val="3366FF"/>
      <w:sz w:val="24"/>
      <w:szCs w:val="24"/>
      <w:u w:val="none"/>
    </w:rPr>
  </w:style>
  <w:style w:type="character" w:customStyle="1" w:styleId="90">
    <w:name w:val="font21"/>
    <w:autoRedefine/>
    <w:qFormat/>
    <w:uiPriority w:val="0"/>
    <w:rPr>
      <w:rFonts w:hint="eastAsia" w:ascii="宋体" w:hAnsi="宋体" w:eastAsia="宋体"/>
      <w:color w:val="3366FF"/>
      <w:sz w:val="24"/>
      <w:szCs w:val="24"/>
      <w:u w:val="none"/>
    </w:rPr>
  </w:style>
  <w:style w:type="paragraph" w:customStyle="1" w:styleId="91">
    <w:name w:val="Char Char15"/>
    <w:basedOn w:val="1"/>
    <w:autoRedefine/>
    <w:qFormat/>
    <w:uiPriority w:val="0"/>
    <w:rPr>
      <w:rFonts w:ascii="Tahoma" w:hAnsi="Tahoma" w:eastAsia="仿宋_GB2312"/>
      <w:sz w:val="24"/>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字符"/>
    <w:basedOn w:val="38"/>
    <w:link w:val="12"/>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7">
    <w:name w:val="List Paragraph"/>
    <w:basedOn w:val="1"/>
    <w:autoRedefine/>
    <w:qFormat/>
    <w:uiPriority w:val="99"/>
    <w:pPr>
      <w:ind w:firstLine="420" w:firstLineChars="200"/>
    </w:pPr>
  </w:style>
  <w:style w:type="table" w:customStyle="1" w:styleId="10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9">
    <w:name w:val="first-child3"/>
    <w:basedOn w:val="38"/>
    <w:autoRedefine/>
    <w:qFormat/>
    <w:uiPriority w:val="0"/>
  </w:style>
  <w:style w:type="character" w:customStyle="1" w:styleId="110">
    <w:name w:val="layui-this"/>
    <w:basedOn w:val="38"/>
    <w:autoRedefine/>
    <w:qFormat/>
    <w:uiPriority w:val="0"/>
    <w:rPr>
      <w:bdr w:val="single" w:color="EEEEEE" w:sz="4" w:space="0"/>
      <w:shd w:val="clear" w:color="auto" w:fill="FFFFFF"/>
    </w:rPr>
  </w:style>
  <w:style w:type="character" w:customStyle="1" w:styleId="111">
    <w:name w:val="first-child2"/>
    <w:basedOn w:val="38"/>
    <w:autoRedefine/>
    <w:qFormat/>
    <w:uiPriority w:val="0"/>
  </w:style>
  <w:style w:type="character" w:customStyle="1" w:styleId="112">
    <w:name w:val="first-child"/>
    <w:basedOn w:val="38"/>
    <w:autoRedefine/>
    <w:qFormat/>
    <w:uiPriority w:val="0"/>
  </w:style>
  <w:style w:type="character" w:customStyle="1" w:styleId="113">
    <w:name w:val="first-child1"/>
    <w:basedOn w:val="38"/>
    <w:autoRedefine/>
    <w:qFormat/>
    <w:uiPriority w:val="0"/>
  </w:style>
  <w:style w:type="paragraph" w:customStyle="1" w:styleId="114">
    <w:name w:val="Table Paragraph"/>
    <w:basedOn w:val="1"/>
    <w:autoRedefine/>
    <w:qFormat/>
    <w:uiPriority w:val="99"/>
    <w:pPr>
      <w:jc w:val="left"/>
    </w:pPr>
    <w:rPr>
      <w:rFonts w:ascii="宋体" w:hAnsi="宋体" w:cs="宋体"/>
      <w:kern w:val="0"/>
      <w:sz w:val="22"/>
      <w:szCs w:val="22"/>
      <w:lang w:eastAsia="en-US"/>
    </w:rPr>
  </w:style>
  <w:style w:type="character" w:customStyle="1" w:styleId="115">
    <w:name w:val="标题 2 字符"/>
    <w:link w:val="6"/>
    <w:autoRedefine/>
    <w:qFormat/>
    <w:uiPriority w:val="0"/>
    <w:rPr>
      <w:rFonts w:ascii="Arial" w:hAnsi="Arial" w:eastAsia="黑体"/>
      <w:b/>
      <w:bCs/>
      <w:sz w:val="32"/>
      <w:szCs w:val="32"/>
    </w:rPr>
  </w:style>
  <w:style w:type="character" w:customStyle="1" w:styleId="116">
    <w:name w:val="place"/>
    <w:basedOn w:val="38"/>
    <w:autoRedefine/>
    <w:qFormat/>
    <w:uiPriority w:val="0"/>
  </w:style>
  <w:style w:type="character" w:customStyle="1" w:styleId="117">
    <w:name w:val="place1"/>
    <w:basedOn w:val="38"/>
    <w:autoRedefine/>
    <w:qFormat/>
    <w:uiPriority w:val="0"/>
  </w:style>
  <w:style w:type="character" w:customStyle="1" w:styleId="118">
    <w:name w:val="place2"/>
    <w:basedOn w:val="38"/>
    <w:autoRedefine/>
    <w:qFormat/>
    <w:uiPriority w:val="0"/>
    <w:rPr>
      <w:rFonts w:ascii="微软雅黑" w:hAnsi="微软雅黑" w:eastAsia="微软雅黑" w:cs="微软雅黑"/>
      <w:color w:val="888888"/>
      <w:sz w:val="20"/>
      <w:szCs w:val="20"/>
    </w:rPr>
  </w:style>
  <w:style w:type="character" w:customStyle="1" w:styleId="119">
    <w:name w:val="place3"/>
    <w:basedOn w:val="38"/>
    <w:autoRedefine/>
    <w:qFormat/>
    <w:uiPriority w:val="0"/>
  </w:style>
  <w:style w:type="character" w:customStyle="1" w:styleId="120">
    <w:name w:val="font"/>
    <w:basedOn w:val="38"/>
    <w:autoRedefine/>
    <w:qFormat/>
    <w:uiPriority w:val="0"/>
  </w:style>
  <w:style w:type="character" w:customStyle="1" w:styleId="121">
    <w:name w:val="font1"/>
    <w:basedOn w:val="38"/>
    <w:autoRedefine/>
    <w:qFormat/>
    <w:uiPriority w:val="0"/>
  </w:style>
  <w:style w:type="character" w:customStyle="1" w:styleId="122">
    <w:name w:val="gwds_nopic"/>
    <w:basedOn w:val="38"/>
    <w:autoRedefine/>
    <w:qFormat/>
    <w:uiPriority w:val="0"/>
  </w:style>
  <w:style w:type="character" w:customStyle="1" w:styleId="123">
    <w:name w:val="gwds_nopic1"/>
    <w:basedOn w:val="38"/>
    <w:autoRedefine/>
    <w:qFormat/>
    <w:uiPriority w:val="0"/>
  </w:style>
  <w:style w:type="character" w:customStyle="1" w:styleId="124">
    <w:name w:val="gwds_nopic2"/>
    <w:basedOn w:val="38"/>
    <w:autoRedefine/>
    <w:qFormat/>
    <w:uiPriority w:val="0"/>
  </w:style>
  <w:style w:type="character" w:customStyle="1" w:styleId="125">
    <w:name w:val="noline"/>
    <w:basedOn w:val="38"/>
    <w:autoRedefine/>
    <w:qFormat/>
    <w:uiPriority w:val="0"/>
  </w:style>
  <w:style w:type="character" w:customStyle="1" w:styleId="126">
    <w:name w:val="hover17"/>
    <w:basedOn w:val="38"/>
    <w:autoRedefine/>
    <w:qFormat/>
    <w:uiPriority w:val="0"/>
    <w:rPr>
      <w:color w:val="025291"/>
    </w:rPr>
  </w:style>
  <w:style w:type="character" w:customStyle="1" w:styleId="127">
    <w:name w:val="Unresolved Mention"/>
    <w:basedOn w:val="38"/>
    <w:autoRedefine/>
    <w:semiHidden/>
    <w:unhideWhenUsed/>
    <w:qFormat/>
    <w:uiPriority w:val="99"/>
    <w:rPr>
      <w:color w:val="605E5C"/>
      <w:shd w:val="clear" w:color="auto" w:fill="E1DFDD"/>
    </w:rPr>
  </w:style>
  <w:style w:type="character" w:customStyle="1" w:styleId="128">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9">
    <w:name w:val="hover1"/>
    <w:basedOn w:val="38"/>
    <w:autoRedefine/>
    <w:qFormat/>
    <w:uiPriority w:val="0"/>
    <w:rPr>
      <w:color w:val="2590EB"/>
      <w:shd w:val="clear" w:fill="E9F4FD"/>
    </w:rPr>
  </w:style>
  <w:style w:type="character" w:customStyle="1" w:styleId="130">
    <w:name w:val="hover2"/>
    <w:basedOn w:val="38"/>
    <w:autoRedefine/>
    <w:qFormat/>
    <w:uiPriority w:val="0"/>
    <w:rPr>
      <w:color w:val="2590EB"/>
    </w:rPr>
  </w:style>
  <w:style w:type="character" w:customStyle="1" w:styleId="131">
    <w:name w:val="hover3"/>
    <w:basedOn w:val="38"/>
    <w:autoRedefine/>
    <w:qFormat/>
    <w:uiPriority w:val="0"/>
    <w:rPr>
      <w:color w:val="2590EB"/>
    </w:rPr>
  </w:style>
  <w:style w:type="character" w:customStyle="1" w:styleId="132">
    <w:name w:val="hover4"/>
    <w:basedOn w:val="38"/>
    <w:autoRedefine/>
    <w:qFormat/>
    <w:uiPriority w:val="0"/>
  </w:style>
  <w:style w:type="character" w:customStyle="1" w:styleId="133">
    <w:name w:val="hover"/>
    <w:basedOn w:val="3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8</TotalTime>
  <ScaleCrop>false</ScaleCrop>
  <LinksUpToDate>false</LinksUpToDate>
  <CharactersWithSpaces>14833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2023-12-26T08:19:20Z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302733F5B957457780DC8E8D62B569F6</vt:lpwstr>
  </property>
</Properties>
</file>