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ind w:firstLine="883" w:firstLineChars="200"/>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淠河防洪治理工程（霍山段）环境保护监测及验收服务</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val="en-US" w:eastAsia="zh-CN"/>
        </w:rPr>
      </w:pPr>
      <w:r>
        <w:rPr>
          <w:rFonts w:hint="eastAsia" w:ascii="宋体" w:hAnsi="宋体"/>
          <w:b/>
          <w:bCs/>
          <w:color w:val="auto"/>
          <w:sz w:val="44"/>
          <w:szCs w:val="44"/>
          <w:highlight w:val="none"/>
          <w:lang w:val="en-US" w:eastAsia="zh-CN"/>
        </w:rPr>
        <w:t>竞</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争</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性</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磋</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商</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rPr>
      </w:pPr>
      <w:r>
        <w:rPr>
          <w:rFonts w:hint="eastAsia" w:ascii="宋体" w:hAnsi="宋体"/>
          <w:b/>
          <w:bCs/>
          <w:color w:val="auto"/>
          <w:sz w:val="44"/>
          <w:szCs w:val="44"/>
          <w:highlight w:val="none"/>
        </w:rPr>
        <w:t>文</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ascii="宋体" w:hAnsi="宋体"/>
          <w:b/>
          <w:bCs/>
          <w:color w:val="auto"/>
          <w:sz w:val="44"/>
          <w:szCs w:val="44"/>
          <w:highlight w:val="none"/>
        </w:rPr>
      </w:pPr>
      <w:r>
        <w:rPr>
          <w:rFonts w:hint="eastAsia" w:ascii="宋体" w:hAnsi="宋体"/>
          <w:b/>
          <w:bCs/>
          <w:color w:val="auto"/>
          <w:sz w:val="44"/>
          <w:szCs w:val="44"/>
          <w:highlight w:val="none"/>
        </w:rPr>
        <w:t>件</w:t>
      </w:r>
    </w:p>
    <w:p>
      <w:pPr>
        <w:tabs>
          <w:tab w:val="left" w:pos="315"/>
          <w:tab w:val="left" w:pos="8820"/>
        </w:tabs>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lang w:eastAsia="zh-CN"/>
        </w:rPr>
        <w:t>（服务类）</w:t>
      </w:r>
    </w:p>
    <w:p>
      <w:pPr>
        <w:tabs>
          <w:tab w:val="left" w:pos="2410"/>
        </w:tabs>
        <w:autoSpaceDE w:val="0"/>
        <w:autoSpaceDN w:val="0"/>
        <w:adjustRightInd w:val="0"/>
        <w:snapToGrid w:val="0"/>
        <w:spacing w:line="600" w:lineRule="exact"/>
        <w:jc w:val="center"/>
        <w:rPr>
          <w:rFonts w:hint="default" w:ascii="宋体" w:hAnsi="DotumChe" w:eastAsia="宋体" w:cs="宋体"/>
          <w:b/>
          <w:color w:val="auto"/>
          <w:spacing w:val="11"/>
          <w:kern w:val="0"/>
          <w:sz w:val="32"/>
          <w:szCs w:val="32"/>
          <w:highlight w:val="none"/>
          <w:lang w:val="en-US" w:eastAsia="zh-CN"/>
        </w:rPr>
      </w:pPr>
      <w:r>
        <w:rPr>
          <w:rFonts w:hint="eastAsia" w:ascii="宋体" w:hAnsi="DotumChe" w:cs="宋体"/>
          <w:b/>
          <w:color w:val="auto"/>
          <w:spacing w:val="11"/>
          <w:kern w:val="0"/>
          <w:sz w:val="32"/>
          <w:szCs w:val="32"/>
          <w:highlight w:val="none"/>
          <w:lang w:eastAsia="zh-CN"/>
        </w:rPr>
        <w:t>项目</w:t>
      </w:r>
      <w:r>
        <w:rPr>
          <w:rFonts w:hint="eastAsia" w:ascii="宋体" w:hAnsi="DotumChe" w:cs="宋体"/>
          <w:b/>
          <w:color w:val="auto"/>
          <w:spacing w:val="11"/>
          <w:kern w:val="0"/>
          <w:sz w:val="32"/>
          <w:szCs w:val="32"/>
          <w:highlight w:val="none"/>
        </w:rPr>
        <w:t>编号：</w:t>
      </w:r>
      <w:r>
        <w:rPr>
          <w:rFonts w:hint="eastAsia" w:ascii="宋体" w:hAnsi="DotumChe" w:cs="宋体"/>
          <w:b/>
          <w:color w:val="auto"/>
          <w:spacing w:val="11"/>
          <w:kern w:val="0"/>
          <w:sz w:val="32"/>
          <w:szCs w:val="32"/>
          <w:highlight w:val="none"/>
          <w:lang w:val="en-US" w:eastAsia="zh-CN"/>
        </w:rPr>
        <w:t>HSYD-2024-0302</w:t>
      </w:r>
    </w:p>
    <w:p>
      <w:pPr>
        <w:pStyle w:val="2"/>
        <w:ind w:left="0" w:leftChars="0" w:firstLine="0" w:firstLineChars="0"/>
        <w:rPr>
          <w:rFonts w:hint="eastAsia"/>
          <w:color w:val="auto"/>
          <w:highlight w:val="none"/>
        </w:rPr>
      </w:pPr>
    </w:p>
    <w:p>
      <w:pPr>
        <w:tabs>
          <w:tab w:val="left" w:pos="2410"/>
        </w:tabs>
        <w:autoSpaceDE w:val="0"/>
        <w:autoSpaceDN w:val="0"/>
        <w:adjustRightInd w:val="0"/>
        <w:snapToGrid w:val="0"/>
        <w:spacing w:line="600" w:lineRule="exact"/>
        <w:ind w:firstLine="1373" w:firstLineChars="400"/>
        <w:jc w:val="both"/>
        <w:rPr>
          <w:rFonts w:hint="eastAsia" w:ascii="宋体" w:hAnsi="DotumChe" w:cs="宋体"/>
          <w:b/>
          <w:color w:val="auto"/>
          <w:spacing w:val="11"/>
          <w:kern w:val="0"/>
          <w:sz w:val="32"/>
          <w:szCs w:val="32"/>
          <w:highlight w:val="none"/>
          <w:lang w:eastAsia="zh-CN"/>
        </w:rPr>
      </w:pPr>
    </w:p>
    <w:p>
      <w:pPr>
        <w:tabs>
          <w:tab w:val="left" w:pos="2410"/>
        </w:tabs>
        <w:autoSpaceDE w:val="0"/>
        <w:autoSpaceDN w:val="0"/>
        <w:adjustRightInd w:val="0"/>
        <w:snapToGrid w:val="0"/>
        <w:spacing w:line="600" w:lineRule="exact"/>
        <w:ind w:firstLine="1373" w:firstLineChars="400"/>
        <w:jc w:val="both"/>
        <w:rPr>
          <w:rFonts w:hint="eastAsia" w:ascii="宋体" w:hAnsi="DotumChe"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采</w:t>
      </w:r>
      <w:r>
        <w:rPr>
          <w:rFonts w:hint="eastAsia" w:ascii="宋体" w:hAnsi="DotumChe" w:cs="宋体"/>
          <w:b/>
          <w:color w:val="auto"/>
          <w:spacing w:val="11"/>
          <w:kern w:val="0"/>
          <w:sz w:val="32"/>
          <w:szCs w:val="32"/>
          <w:highlight w:val="none"/>
          <w:lang w:val="en-US" w:eastAsia="zh-CN"/>
        </w:rPr>
        <w:t xml:space="preserve"> </w:t>
      </w:r>
      <w:r>
        <w:rPr>
          <w:rFonts w:hint="eastAsia" w:ascii="宋体" w:hAnsi="DotumChe" w:cs="宋体"/>
          <w:b/>
          <w:color w:val="auto"/>
          <w:spacing w:val="11"/>
          <w:kern w:val="0"/>
          <w:sz w:val="32"/>
          <w:szCs w:val="32"/>
          <w:highlight w:val="none"/>
          <w:lang w:eastAsia="zh-CN"/>
        </w:rPr>
        <w:t>购</w:t>
      </w:r>
      <w:r>
        <w:rPr>
          <w:rFonts w:hint="eastAsia" w:ascii="宋体" w:hAnsi="DotumChe" w:cs="宋体"/>
          <w:b/>
          <w:color w:val="auto"/>
          <w:spacing w:val="11"/>
          <w:kern w:val="0"/>
          <w:sz w:val="32"/>
          <w:szCs w:val="32"/>
          <w:highlight w:val="none"/>
          <w:lang w:val="en-US" w:eastAsia="zh-CN"/>
        </w:rPr>
        <w:t xml:space="preserve"> </w:t>
      </w:r>
      <w:r>
        <w:rPr>
          <w:rFonts w:hint="eastAsia" w:ascii="宋体" w:hAnsi="DotumChe" w:cs="宋体"/>
          <w:b/>
          <w:color w:val="auto"/>
          <w:spacing w:val="11"/>
          <w:kern w:val="0"/>
          <w:sz w:val="32"/>
          <w:szCs w:val="32"/>
          <w:highlight w:val="none"/>
          <w:lang w:eastAsia="zh-CN"/>
        </w:rPr>
        <w:t>人</w:t>
      </w:r>
      <w:r>
        <w:rPr>
          <w:rFonts w:hint="eastAsia" w:ascii="宋体" w:hAnsi="DotumChe" w:cs="宋体"/>
          <w:b/>
          <w:color w:val="auto"/>
          <w:spacing w:val="11"/>
          <w:kern w:val="0"/>
          <w:sz w:val="32"/>
          <w:szCs w:val="32"/>
          <w:highlight w:val="none"/>
        </w:rPr>
        <w:t>：</w:t>
      </w:r>
      <w:r>
        <w:rPr>
          <w:rFonts w:hint="eastAsia" w:ascii="宋体" w:hAnsi="DotumChe" w:cs="宋体"/>
          <w:b/>
          <w:color w:val="auto"/>
          <w:spacing w:val="11"/>
          <w:kern w:val="0"/>
          <w:sz w:val="32"/>
          <w:szCs w:val="32"/>
          <w:highlight w:val="none"/>
          <w:lang w:eastAsia="zh-CN"/>
        </w:rPr>
        <w:t>霍山县水利工程项目建设中心</w:t>
      </w:r>
    </w:p>
    <w:p>
      <w:pPr>
        <w:tabs>
          <w:tab w:val="left" w:pos="2410"/>
        </w:tabs>
        <w:autoSpaceDE w:val="0"/>
        <w:autoSpaceDN w:val="0"/>
        <w:adjustRightInd w:val="0"/>
        <w:snapToGrid w:val="0"/>
        <w:spacing w:line="600" w:lineRule="exact"/>
        <w:ind w:firstLine="2746" w:firstLineChars="800"/>
        <w:jc w:val="both"/>
        <w:rPr>
          <w:rFonts w:hint="eastAsia" w:ascii="宋体" w:hAnsi="DotumChe" w:eastAsia="宋体"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安徽大别山水利投资有限公司</w:t>
      </w:r>
    </w:p>
    <w:p>
      <w:pPr>
        <w:tabs>
          <w:tab w:val="left" w:pos="2410"/>
        </w:tabs>
        <w:autoSpaceDE w:val="0"/>
        <w:autoSpaceDN w:val="0"/>
        <w:adjustRightInd w:val="0"/>
        <w:snapToGrid w:val="0"/>
        <w:spacing w:line="600" w:lineRule="exact"/>
        <w:ind w:firstLine="1373" w:firstLineChars="400"/>
        <w:jc w:val="both"/>
        <w:rPr>
          <w:rFonts w:hint="eastAsia" w:ascii="宋体" w:hAnsi="DotumChe" w:eastAsia="宋体"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采购</w:t>
      </w:r>
      <w:r>
        <w:rPr>
          <w:rFonts w:hint="eastAsia" w:ascii="宋体" w:hAnsi="DotumChe" w:cs="宋体"/>
          <w:b/>
          <w:color w:val="auto"/>
          <w:spacing w:val="11"/>
          <w:kern w:val="0"/>
          <w:sz w:val="32"/>
          <w:szCs w:val="32"/>
          <w:highlight w:val="none"/>
        </w:rPr>
        <w:t>代理机构：</w:t>
      </w:r>
      <w:r>
        <w:rPr>
          <w:rFonts w:hint="eastAsia" w:ascii="宋体" w:hAnsi="DotumChe" w:cs="宋体"/>
          <w:b/>
          <w:color w:val="auto"/>
          <w:spacing w:val="11"/>
          <w:kern w:val="0"/>
          <w:sz w:val="32"/>
          <w:szCs w:val="32"/>
          <w:highlight w:val="none"/>
          <w:lang w:eastAsia="zh-CN"/>
        </w:rPr>
        <w:t>霍山永达工程咨询有限公司</w:t>
      </w:r>
    </w:p>
    <w:p>
      <w:pPr>
        <w:tabs>
          <w:tab w:val="left" w:pos="2410"/>
        </w:tabs>
        <w:autoSpaceDE w:val="0"/>
        <w:autoSpaceDN w:val="0"/>
        <w:adjustRightInd w:val="0"/>
        <w:snapToGrid w:val="0"/>
        <w:spacing w:line="600" w:lineRule="exact"/>
        <w:ind w:firstLine="2403" w:firstLineChars="700"/>
        <w:jc w:val="both"/>
        <w:rPr>
          <w:rFonts w:hint="eastAsia" w:ascii="宋体" w:hAnsi="DotumChe" w:cs="宋体"/>
          <w:b/>
          <w:color w:val="auto"/>
          <w:spacing w:val="11"/>
          <w:kern w:val="0"/>
          <w:sz w:val="32"/>
          <w:szCs w:val="32"/>
          <w:highlight w:val="none"/>
          <w:lang w:eastAsia="zh-CN"/>
        </w:rPr>
      </w:pPr>
      <w:r>
        <w:rPr>
          <w:rFonts w:hint="eastAsia" w:ascii="宋体" w:hAnsi="DotumChe" w:cs="宋体"/>
          <w:b/>
          <w:color w:val="auto"/>
          <w:spacing w:val="11"/>
          <w:kern w:val="0"/>
          <w:sz w:val="32"/>
          <w:szCs w:val="32"/>
          <w:highlight w:val="none"/>
          <w:lang w:eastAsia="zh-CN"/>
        </w:rPr>
        <w:t>采购时间：二〇二四年</w:t>
      </w:r>
      <w:r>
        <w:rPr>
          <w:rFonts w:hint="eastAsia" w:ascii="宋体" w:hAnsi="DotumChe" w:cs="宋体"/>
          <w:b/>
          <w:color w:val="auto"/>
          <w:spacing w:val="11"/>
          <w:kern w:val="0"/>
          <w:sz w:val="32"/>
          <w:szCs w:val="32"/>
          <w:highlight w:val="none"/>
          <w:lang w:val="en-US" w:eastAsia="zh-CN"/>
        </w:rPr>
        <w:t>三</w:t>
      </w:r>
      <w:r>
        <w:rPr>
          <w:rFonts w:hint="eastAsia" w:ascii="宋体" w:hAnsi="DotumChe" w:cs="宋体"/>
          <w:b/>
          <w:color w:val="auto"/>
          <w:spacing w:val="11"/>
          <w:kern w:val="0"/>
          <w:sz w:val="32"/>
          <w:szCs w:val="32"/>
          <w:highlight w:val="none"/>
          <w:lang w:eastAsia="zh-CN"/>
        </w:rPr>
        <w:t>月</w:t>
      </w:r>
      <w:bookmarkStart w:id="0" w:name="_Toc30186"/>
      <w:bookmarkStart w:id="1" w:name="_Toc1863"/>
      <w:bookmarkStart w:id="2" w:name="_Toc216158623"/>
      <w:bookmarkStart w:id="3" w:name="_Toc363199264"/>
    </w:p>
    <w:p>
      <w:pPr>
        <w:pStyle w:val="2"/>
        <w:rPr>
          <w:rFonts w:hint="eastAsia" w:ascii="宋体" w:hAnsi="DotumChe" w:cs="宋体"/>
          <w:b/>
          <w:color w:val="auto"/>
          <w:spacing w:val="11"/>
          <w:kern w:val="0"/>
          <w:sz w:val="32"/>
          <w:szCs w:val="32"/>
          <w:highlight w:val="none"/>
          <w:lang w:eastAsia="zh-CN"/>
        </w:rPr>
      </w:pPr>
    </w:p>
    <w:p>
      <w:pPr>
        <w:pStyle w:val="6"/>
        <w:rPr>
          <w:rFonts w:hint="eastAsia"/>
          <w:color w:val="auto"/>
          <w:highlight w:val="none"/>
          <w:lang w:val="en-US" w:eastAsia="zh-CN"/>
        </w:rPr>
      </w:pPr>
    </w:p>
    <w:p>
      <w:pPr>
        <w:pStyle w:val="8"/>
        <w:spacing w:before="120" w:beforeLines="50" w:after="120" w:afterLines="50" w:line="520" w:lineRule="exact"/>
        <w:jc w:val="center"/>
        <w:rPr>
          <w:rFonts w:hint="eastAsia" w:ascii="华文中宋" w:hAnsi="华文中宋" w:eastAsia="华文中宋" w:cs="华文中宋"/>
          <w:b w:val="0"/>
          <w:bCs/>
          <w:color w:val="auto"/>
          <w:sz w:val="44"/>
          <w:szCs w:val="44"/>
          <w:highlight w:val="none"/>
          <w:lang w:eastAsia="zh-CN"/>
        </w:rPr>
      </w:pPr>
      <w:r>
        <w:rPr>
          <w:rFonts w:hint="eastAsia" w:ascii="华文中宋" w:hAnsi="华文中宋" w:eastAsia="华文中宋" w:cs="华文中宋"/>
          <w:b w:val="0"/>
          <w:bCs/>
          <w:color w:val="auto"/>
          <w:sz w:val="44"/>
          <w:szCs w:val="44"/>
          <w:highlight w:val="none"/>
          <w:lang w:val="en-US" w:eastAsia="zh-CN"/>
        </w:rPr>
        <w:t xml:space="preserve"> </w:t>
      </w:r>
      <w:r>
        <w:rPr>
          <w:rFonts w:hint="eastAsia" w:ascii="华文中宋" w:hAnsi="华文中宋" w:eastAsia="华文中宋" w:cs="华文中宋"/>
          <w:b w:val="0"/>
          <w:bCs/>
          <w:color w:val="auto"/>
          <w:sz w:val="44"/>
          <w:szCs w:val="44"/>
          <w:highlight w:val="none"/>
          <w:lang w:eastAsia="zh-CN"/>
        </w:rPr>
        <w:t>淠河防洪治理工程（霍山段）环境保护监测及验收服务竞争性磋商采购公告</w:t>
      </w:r>
      <w:bookmarkEnd w:id="0"/>
      <w:bookmarkEnd w:id="1"/>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r>
        <w:rPr>
          <w:rFonts w:hint="eastAsia" w:ascii="仿宋" w:hAnsi="仿宋" w:eastAsia="仿宋" w:cs="仿宋"/>
          <w:color w:val="auto"/>
          <w:sz w:val="28"/>
          <w:szCs w:val="28"/>
          <w:highlight w:val="none"/>
          <w:u w:val="single"/>
          <w:lang w:eastAsia="zh-CN"/>
        </w:rPr>
        <w:t>淠河防洪治理工程（霍山段）环境保护监测及验收服务</w:t>
      </w:r>
      <w:r>
        <w:rPr>
          <w:rFonts w:hint="eastAsia" w:ascii="仿宋" w:hAnsi="仿宋" w:eastAsia="仿宋" w:cs="仿宋"/>
          <w:color w:val="auto"/>
          <w:sz w:val="28"/>
          <w:szCs w:val="28"/>
          <w:highlight w:val="none"/>
        </w:rPr>
        <w:t>的潜在供应商应在</w:t>
      </w:r>
      <w:r>
        <w:rPr>
          <w:rFonts w:hint="eastAsia" w:ascii="仿宋" w:hAnsi="仿宋" w:eastAsia="仿宋" w:cs="仿宋"/>
          <w:color w:val="auto"/>
          <w:sz w:val="28"/>
          <w:szCs w:val="28"/>
          <w:highlight w:val="none"/>
          <w:lang w:val="en-US" w:eastAsia="zh-CN"/>
        </w:rPr>
        <w:t>霍山永达工程咨询有限公司（http://www.hsydgczx.com）</w:t>
      </w:r>
      <w:r>
        <w:rPr>
          <w:rFonts w:hint="eastAsia"/>
          <w:color w:val="auto"/>
          <w:highlight w:val="none"/>
        </w:rPr>
        <w:fldChar w:fldCharType="begin"/>
      </w:r>
      <w:r>
        <w:rPr>
          <w:rFonts w:hint="eastAsia" w:ascii="仿宋" w:hAnsi="仿宋" w:eastAsia="仿宋" w:cs="仿宋"/>
          <w:color w:val="auto"/>
          <w:sz w:val="28"/>
          <w:szCs w:val="28"/>
          <w:highlight w:val="none"/>
        </w:rPr>
        <w:instrText xml:space="preserve"> HYPERLINK "http://ggzy.luan.gov.cn）获取采购文件，并于" </w:instrText>
      </w:r>
      <w:r>
        <w:rPr>
          <w:rFonts w:hint="eastAsia"/>
          <w:color w:val="auto"/>
          <w:highlight w:val="none"/>
        </w:rPr>
        <w:fldChar w:fldCharType="separate"/>
      </w:r>
      <w:r>
        <w:rPr>
          <w:rStyle w:val="49"/>
          <w:rFonts w:hint="eastAsia" w:ascii="仿宋" w:hAnsi="仿宋" w:eastAsia="仿宋" w:cs="仿宋"/>
          <w:color w:val="auto"/>
          <w:sz w:val="28"/>
          <w:szCs w:val="28"/>
          <w:highlight w:val="none"/>
        </w:rPr>
        <w:t>获取采购文件，并于</w:t>
      </w:r>
      <w:r>
        <w:rPr>
          <w:rStyle w:val="49"/>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u w:val="none"/>
          <w:lang w:val="en-US" w:eastAsia="zh-CN"/>
        </w:rPr>
        <w:t>2024</w:t>
      </w:r>
      <w:r>
        <w:rPr>
          <w:rFonts w:hint="eastAsia" w:ascii="仿宋" w:hAnsi="仿宋" w:eastAsia="仿宋" w:cs="仿宋"/>
          <w:color w:val="auto"/>
          <w:sz w:val="28"/>
          <w:szCs w:val="28"/>
          <w:highlight w:val="none"/>
          <w:u w:val="none"/>
        </w:rPr>
        <w:t>年</w:t>
      </w:r>
      <w:r>
        <w:rPr>
          <w:rFonts w:hint="eastAsia" w:ascii="仿宋" w:hAnsi="仿宋" w:eastAsia="仿宋" w:cs="仿宋"/>
          <w:color w:val="auto"/>
          <w:sz w:val="28"/>
          <w:szCs w:val="28"/>
          <w:highlight w:val="none"/>
          <w:u w:val="none"/>
          <w:lang w:val="en-US" w:eastAsia="zh-CN"/>
        </w:rPr>
        <w:t>3</w:t>
      </w:r>
      <w:r>
        <w:rPr>
          <w:rFonts w:hint="eastAsia" w:ascii="仿宋" w:hAnsi="仿宋" w:eastAsia="仿宋" w:cs="仿宋"/>
          <w:color w:val="auto"/>
          <w:sz w:val="28"/>
          <w:szCs w:val="28"/>
          <w:highlight w:val="none"/>
          <w:u w:val="none"/>
        </w:rPr>
        <w:t>月</w:t>
      </w:r>
      <w:r>
        <w:rPr>
          <w:rFonts w:hint="eastAsia" w:ascii="仿宋" w:hAnsi="仿宋" w:eastAsia="仿宋" w:cs="仿宋"/>
          <w:color w:val="auto"/>
          <w:sz w:val="28"/>
          <w:szCs w:val="28"/>
          <w:highlight w:val="none"/>
          <w:u w:val="none"/>
          <w:lang w:val="en-US" w:eastAsia="zh-CN"/>
        </w:rPr>
        <w:t>15</w:t>
      </w:r>
      <w:r>
        <w:rPr>
          <w:rFonts w:hint="eastAsia" w:ascii="仿宋" w:hAnsi="仿宋" w:eastAsia="仿宋" w:cs="仿宋"/>
          <w:color w:val="auto"/>
          <w:sz w:val="28"/>
          <w:szCs w:val="28"/>
          <w:highlight w:val="none"/>
          <w:u w:val="none"/>
        </w:rPr>
        <w:t>日</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u w:val="none"/>
        </w:rPr>
        <w:t>点</w:t>
      </w:r>
      <w:r>
        <w:rPr>
          <w:rFonts w:hint="eastAsia" w:ascii="仿宋" w:hAnsi="仿宋" w:eastAsia="仿宋" w:cs="仿宋"/>
          <w:color w:val="auto"/>
          <w:sz w:val="28"/>
          <w:szCs w:val="28"/>
          <w:highlight w:val="none"/>
          <w:u w:val="none"/>
          <w:lang w:val="en-US" w:eastAsia="zh-CN"/>
        </w:rPr>
        <w:t>00</w:t>
      </w:r>
      <w:r>
        <w:rPr>
          <w:rFonts w:hint="eastAsia" w:ascii="仿宋" w:hAnsi="仿宋" w:eastAsia="仿宋" w:cs="仿宋"/>
          <w:color w:val="auto"/>
          <w:sz w:val="28"/>
          <w:szCs w:val="28"/>
          <w:highlight w:val="none"/>
          <w:u w:val="none"/>
        </w:rPr>
        <w:t>分</w:t>
      </w:r>
      <w:r>
        <w:rPr>
          <w:rFonts w:hint="eastAsia" w:ascii="仿宋" w:hAnsi="仿宋" w:eastAsia="仿宋" w:cs="仿宋"/>
          <w:color w:val="auto"/>
          <w:sz w:val="28"/>
          <w:szCs w:val="28"/>
          <w:highlight w:val="none"/>
        </w:rPr>
        <w:t>（北京时间）前</w:t>
      </w:r>
      <w:r>
        <w:rPr>
          <w:rFonts w:hint="eastAsia" w:ascii="仿宋" w:hAnsi="仿宋" w:eastAsia="仿宋" w:cs="仿宋"/>
          <w:color w:val="auto"/>
          <w:sz w:val="28"/>
          <w:szCs w:val="28"/>
          <w:highlight w:val="none"/>
          <w:lang w:eastAsia="zh-CN"/>
        </w:rPr>
        <w:t>现场递交</w:t>
      </w:r>
      <w:r>
        <w:rPr>
          <w:rFonts w:hint="eastAsia" w:ascii="仿宋" w:hAnsi="仿宋" w:eastAsia="仿宋" w:cs="仿宋"/>
          <w:color w:val="auto"/>
          <w:sz w:val="28"/>
          <w:szCs w:val="28"/>
          <w:highlight w:val="none"/>
        </w:rPr>
        <w:t>响应文件。</w:t>
      </w:r>
    </w:p>
    <w:p>
      <w:pPr>
        <w:pStyle w:val="8"/>
        <w:adjustRightInd/>
        <w:spacing w:before="0" w:after="0" w:line="520" w:lineRule="exact"/>
        <w:jc w:val="both"/>
        <w:textAlignment w:val="auto"/>
        <w:rPr>
          <w:rFonts w:ascii="黑体" w:hAnsi="黑体" w:cs="黑体"/>
          <w:b w:val="0"/>
          <w:bCs/>
          <w:color w:val="auto"/>
          <w:sz w:val="28"/>
          <w:szCs w:val="28"/>
          <w:highlight w:val="none"/>
        </w:rPr>
      </w:pPr>
      <w:bookmarkStart w:id="4" w:name="_Toc35393629"/>
      <w:bookmarkStart w:id="5" w:name="_Toc9864"/>
      <w:bookmarkStart w:id="6" w:name="_Toc28359012"/>
      <w:bookmarkStart w:id="7" w:name="_Toc28359089"/>
      <w:bookmarkStart w:id="8" w:name="_Toc35393798"/>
      <w:r>
        <w:rPr>
          <w:rFonts w:hint="eastAsia" w:ascii="黑体" w:hAnsi="黑体" w:cs="黑体"/>
          <w:b w:val="0"/>
          <w:bCs/>
          <w:color w:val="auto"/>
          <w:sz w:val="28"/>
          <w:szCs w:val="28"/>
          <w:highlight w:val="none"/>
        </w:rPr>
        <w:t>一、项目基本情况</w:t>
      </w:r>
      <w:bookmarkEnd w:id="4"/>
      <w:bookmarkEnd w:id="5"/>
      <w:bookmarkEnd w:id="6"/>
      <w:bookmarkEnd w:id="7"/>
      <w:bookmarkEnd w:id="8"/>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1、项目编号：</w:t>
      </w:r>
      <w:r>
        <w:rPr>
          <w:rFonts w:hint="eastAsia" w:ascii="仿宋" w:hAnsi="仿宋" w:eastAsia="仿宋" w:cs="仿宋"/>
          <w:color w:val="auto"/>
          <w:sz w:val="28"/>
          <w:szCs w:val="28"/>
          <w:highlight w:val="none"/>
          <w:lang w:val="en-US" w:eastAsia="zh-CN"/>
        </w:rPr>
        <w:t>HSYD-2024-0302</w:t>
      </w:r>
    </w:p>
    <w:p>
      <w:pPr>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lang w:eastAsia="zh-CN"/>
        </w:rPr>
        <w:t>淠河防洪治理工程（霍山段）环境保护监测及验收服务</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3、项目类型：服务类</w:t>
      </w:r>
    </w:p>
    <w:p>
      <w:pPr>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4、采购方式：竞争性磋商 </w:t>
      </w:r>
    </w:p>
    <w:p>
      <w:pPr>
        <w:spacing w:line="520" w:lineRule="exact"/>
        <w:ind w:firstLine="560" w:firstLineChars="200"/>
        <w:rPr>
          <w:rFonts w:ascii="仿宋" w:hAnsi="仿宋" w:eastAsia="仿宋" w:cs="仿宋"/>
          <w:color w:val="auto"/>
          <w:sz w:val="28"/>
          <w:szCs w:val="28"/>
          <w:highlight w:val="none"/>
          <w:u w:val="none"/>
        </w:rPr>
      </w:pPr>
      <w:r>
        <w:rPr>
          <w:rFonts w:hint="eastAsia" w:ascii="仿宋" w:hAnsi="仿宋" w:eastAsia="仿宋" w:cs="仿宋"/>
          <w:color w:val="auto"/>
          <w:sz w:val="28"/>
          <w:szCs w:val="28"/>
          <w:highlight w:val="none"/>
        </w:rPr>
        <w:t>5、预算金额</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25万</w:t>
      </w:r>
      <w:r>
        <w:rPr>
          <w:rFonts w:hint="eastAsia" w:ascii="仿宋" w:hAnsi="仿宋" w:eastAsia="仿宋" w:cs="仿宋"/>
          <w:color w:val="auto"/>
          <w:sz w:val="28"/>
          <w:szCs w:val="28"/>
          <w:highlight w:val="none"/>
          <w:u w:val="none"/>
        </w:rPr>
        <w:t>元</w:t>
      </w:r>
    </w:p>
    <w:p>
      <w:pPr>
        <w:spacing w:line="520" w:lineRule="exact"/>
        <w:ind w:firstLine="560" w:firstLineChars="20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6、最高限价：</w:t>
      </w:r>
      <w:r>
        <w:rPr>
          <w:rFonts w:hint="eastAsia" w:ascii="仿宋" w:hAnsi="仿宋" w:eastAsia="仿宋" w:cs="仿宋"/>
          <w:color w:val="auto"/>
          <w:sz w:val="28"/>
          <w:szCs w:val="28"/>
          <w:highlight w:val="none"/>
          <w:u w:val="none"/>
          <w:lang w:val="en-US" w:eastAsia="zh-CN"/>
        </w:rPr>
        <w:t>25万</w:t>
      </w:r>
      <w:r>
        <w:rPr>
          <w:rFonts w:hint="eastAsia" w:ascii="仿宋" w:hAnsi="仿宋" w:eastAsia="仿宋" w:cs="仿宋"/>
          <w:color w:val="auto"/>
          <w:sz w:val="28"/>
          <w:szCs w:val="28"/>
          <w:highlight w:val="none"/>
          <w:u w:val="none"/>
        </w:rPr>
        <w:t>元</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7、采购需求：淠河防洪治理工程（霍山段）环境保护监测及验收服务，主要是依据批复的《 淠河防洪治理工程初步设计报告》、《 淠河防洪治理工程环境影响报告书》及批复文件中提出的环境保护措施，开展环境保护监测及竣工验收技术服务工作。工作内容包括但不限于：①编制突发环境事故应急预案；②完成施工期环境监测、营运期环境监测、生态监测，提交各项监测报告；③提供竣工环境保护验收咨询服务，编制工程竣工环境保护验收调查报告，为工程竣工环保验收组的验收工作提供依据；④开展环保宣传教育培训。</w:t>
      </w:r>
    </w:p>
    <w:p>
      <w:pPr>
        <w:widowControl/>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8、合同履行期限：</w:t>
      </w:r>
      <w:r>
        <w:rPr>
          <w:rFonts w:hint="eastAsia" w:ascii="仿宋" w:hAnsi="仿宋" w:eastAsia="仿宋" w:cs="仿宋"/>
          <w:color w:val="auto"/>
          <w:sz w:val="28"/>
          <w:szCs w:val="28"/>
          <w:highlight w:val="none"/>
          <w:lang w:val="en-US" w:eastAsia="zh-CN"/>
        </w:rPr>
        <w:t xml:space="preserve">自合同签订之日起至工程通过竣工验收止。 </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9、是否接受联合体：本项目不接受联合体。</w:t>
      </w:r>
    </w:p>
    <w:p>
      <w:pPr>
        <w:pStyle w:val="8"/>
        <w:adjustRightInd/>
        <w:spacing w:before="0" w:after="0" w:line="520" w:lineRule="exact"/>
        <w:jc w:val="both"/>
        <w:textAlignment w:val="auto"/>
        <w:rPr>
          <w:rFonts w:ascii="黑体" w:hAnsi="黑体" w:cs="黑体"/>
          <w:b w:val="0"/>
          <w:bCs/>
          <w:color w:val="auto"/>
          <w:sz w:val="28"/>
          <w:szCs w:val="28"/>
          <w:highlight w:val="none"/>
        </w:rPr>
      </w:pPr>
      <w:bookmarkStart w:id="9" w:name="_Toc28359090"/>
      <w:bookmarkStart w:id="10" w:name="_Toc35393630"/>
      <w:bookmarkStart w:id="11" w:name="_Toc8072"/>
      <w:bookmarkStart w:id="12" w:name="_Toc28359013"/>
      <w:bookmarkStart w:id="13" w:name="_Toc35393799"/>
      <w:bookmarkStart w:id="14" w:name="_Toc28359091"/>
      <w:bookmarkStart w:id="15" w:name="_Toc28359014"/>
      <w:r>
        <w:rPr>
          <w:rFonts w:hint="eastAsia" w:ascii="黑体" w:hAnsi="黑体" w:cs="黑体"/>
          <w:b w:val="0"/>
          <w:bCs/>
          <w:color w:val="auto"/>
          <w:sz w:val="28"/>
          <w:szCs w:val="28"/>
          <w:highlight w:val="none"/>
        </w:rPr>
        <w:t>二、申请人的资格要求</w:t>
      </w:r>
      <w:bookmarkEnd w:id="9"/>
      <w:bookmarkEnd w:id="10"/>
      <w:bookmarkEnd w:id="11"/>
      <w:bookmarkEnd w:id="12"/>
      <w:bookmarkEnd w:id="13"/>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pPr>
        <w:widowControl/>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pPr>
        <w:widowControl/>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1）具有省级及以上质量技术监督部门颁发的《检验检测机构资质认定证书》（CMA），且证书及其附表上批准的检验类别至少包括水、大气、噪声、土壤；</w:t>
      </w:r>
    </w:p>
    <w:p>
      <w:pPr>
        <w:widowControl/>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（2）项目负责人要求：项目负责人具有环境保护或水利工程相关专业中级及以上技术职称。</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4.供应商存在以下不良信用记录情形之一的，不得推荐为成交候选供应商，不得确定为成交供应商：</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(1）供应商被人民法院列入失信被执行人的；</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(2）供应商被市场监督管理部门列入企业经营异常名录的；</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(3）供应商被税务部门列入重大税收违法案件当事人名单的；</w:t>
      </w:r>
    </w:p>
    <w:p>
      <w:pPr>
        <w:widowControl/>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(4）供应商被政府采购监管部门列入政府采购严重违法失信行为记录名单的。</w:t>
      </w:r>
    </w:p>
    <w:p>
      <w:pPr>
        <w:widowControl/>
        <w:spacing w:line="520" w:lineRule="exact"/>
        <w:ind w:firstLine="560" w:firstLineChars="200"/>
        <w:rPr>
          <w:rFonts w:hint="eastAsia" w:eastAsia="仿宋"/>
          <w:color w:val="auto"/>
          <w:highlight w:val="none"/>
          <w:lang w:val="en-US" w:eastAsia="zh-CN"/>
        </w:rPr>
      </w:pPr>
      <w:r>
        <w:rPr>
          <w:rFonts w:hint="eastAsia" w:ascii="仿宋" w:hAnsi="仿宋" w:eastAsia="仿宋" w:cs="仿宋"/>
          <w:color w:val="auto"/>
          <w:sz w:val="28"/>
          <w:szCs w:val="28"/>
          <w:highlight w:val="none"/>
          <w:lang w:val="en-US" w:eastAsia="zh-CN"/>
        </w:rPr>
        <w:t>5、响应文件所报的项目负责人必须是本单位工作人员。供应商需提供所属社保机构出具的包括磋商截止日所属月份（含）为基点起往前计算已经过去的连续 5 个月内不少于连续缴费3个月的拟委任的项目负责人社保缴费清单等社保缴费证明材料（例：7 月 19 日发包，则连续 5 个月是指7月、6月、5月、4月、3月；连续 3个月是指 7月、6月、5月或 6月、5月、4月或 5月、4月、3月，其他类推）。社保缴费证明或提供的社保缴费证明不满足磋商文件要求的，其响应资格无效（如年满 60周岁无法提供社保缴费证明的，可提供聘用合同原件扫描件和包括投标截止日所属月份（含）为基点起往前计算已经过去的连续 5个月内不少于连续发放3个月的加盖银行印章的能体现聘用企业名称及拟委任项目负责人姓名的工资打卡流水账单原件扫描件）。</w:t>
      </w:r>
    </w:p>
    <w:p>
      <w:pPr>
        <w:pStyle w:val="8"/>
        <w:adjustRightInd/>
        <w:spacing w:before="0" w:after="0" w:line="520" w:lineRule="exact"/>
        <w:jc w:val="both"/>
        <w:textAlignment w:val="auto"/>
        <w:rPr>
          <w:rFonts w:ascii="黑体" w:hAnsi="黑体" w:cs="黑体"/>
          <w:b w:val="0"/>
          <w:bCs/>
          <w:color w:val="auto"/>
          <w:sz w:val="28"/>
          <w:szCs w:val="28"/>
          <w:highlight w:val="none"/>
        </w:rPr>
      </w:pPr>
      <w:bookmarkStart w:id="16" w:name="_Toc35393800"/>
      <w:bookmarkStart w:id="17" w:name="_Toc32583"/>
      <w:bookmarkStart w:id="18" w:name="_Toc35393631"/>
      <w:r>
        <w:rPr>
          <w:rFonts w:hint="eastAsia" w:ascii="黑体" w:hAnsi="黑体" w:cs="黑体"/>
          <w:b w:val="0"/>
          <w:bCs/>
          <w:color w:val="auto"/>
          <w:sz w:val="28"/>
          <w:szCs w:val="28"/>
          <w:highlight w:val="none"/>
        </w:rPr>
        <w:t>三、获取采购文件</w:t>
      </w:r>
      <w:bookmarkEnd w:id="14"/>
      <w:bookmarkEnd w:id="15"/>
      <w:bookmarkEnd w:id="16"/>
      <w:bookmarkEnd w:id="17"/>
      <w:bookmarkEnd w:id="18"/>
    </w:p>
    <w:p>
      <w:pPr>
        <w:spacing w:line="520" w:lineRule="exact"/>
        <w:ind w:firstLine="560" w:firstLineChars="200"/>
        <w:rPr>
          <w:rFonts w:hint="eastAsia" w:ascii="仿宋" w:hAnsi="仿宋" w:eastAsia="仿宋" w:cs="仿宋"/>
          <w:bCs/>
          <w:color w:val="auto"/>
          <w:sz w:val="28"/>
          <w:szCs w:val="28"/>
          <w:highlight w:val="none"/>
          <w:u w:val="single"/>
          <w:lang w:eastAsia="zh-CN"/>
        </w:rPr>
      </w:pPr>
      <w:bookmarkStart w:id="19" w:name="_Toc35393801"/>
      <w:bookmarkStart w:id="20" w:name="_Toc28359015"/>
      <w:bookmarkStart w:id="21" w:name="_Toc35393632"/>
      <w:bookmarkStart w:id="22" w:name="_Toc26077"/>
      <w:bookmarkStart w:id="23" w:name="_Toc28359092"/>
      <w:r>
        <w:rPr>
          <w:rFonts w:hint="eastAsia" w:ascii="仿宋" w:hAnsi="仿宋" w:eastAsia="仿宋" w:cs="仿宋"/>
          <w:color w:val="auto"/>
          <w:sz w:val="28"/>
          <w:szCs w:val="28"/>
          <w:highlight w:val="none"/>
        </w:rPr>
        <w:t>1、时间：</w:t>
      </w:r>
      <w:r>
        <w:rPr>
          <w:rFonts w:hint="eastAsia" w:ascii="仿宋" w:hAnsi="仿宋" w:eastAsia="仿宋" w:cs="仿宋"/>
          <w:bCs/>
          <w:color w:val="auto"/>
          <w:sz w:val="28"/>
          <w:szCs w:val="28"/>
          <w:highlight w:val="none"/>
          <w:u w:val="none"/>
          <w:lang w:eastAsia="zh-CN"/>
        </w:rPr>
        <w:t>自公告发布之日起至磋商时间前</w:t>
      </w:r>
    </w:p>
    <w:p>
      <w:pPr>
        <w:spacing w:line="520" w:lineRule="exact"/>
        <w:ind w:firstLine="560" w:firstLineChars="200"/>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2、地点：霍山永达工程咨询有限公司（http://www.hsydgczx.com）</w:t>
      </w:r>
    </w:p>
    <w:p>
      <w:pPr>
        <w:pStyle w:val="120"/>
        <w:spacing w:line="480" w:lineRule="exact"/>
        <w:ind w:left="0" w:leftChars="0" w:firstLine="560" w:firstLineChars="20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3、获取方式：①本项目采购文件（答疑澄清等相关文件资料）从霍山永达工程咨询有限公司下载；</w:t>
      </w:r>
    </w:p>
    <w:p>
      <w:pPr>
        <w:pStyle w:val="120"/>
        <w:spacing w:line="480" w:lineRule="exact"/>
        <w:ind w:left="0" w:leftChars="0" w:firstLine="560" w:firstLineChars="200"/>
        <w:jc w:val="left"/>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4、售价：免费</w:t>
      </w:r>
    </w:p>
    <w:p>
      <w:pPr>
        <w:pStyle w:val="8"/>
        <w:adjustRightInd/>
        <w:spacing w:before="0" w:after="0" w:line="520" w:lineRule="exact"/>
        <w:jc w:val="both"/>
        <w:textAlignment w:val="auto"/>
        <w:rPr>
          <w:rFonts w:hint="eastAsia" w:ascii="黑体" w:hAnsi="黑体" w:eastAsia="黑体" w:cs="黑体"/>
          <w:b w:val="0"/>
          <w:bCs/>
          <w:color w:val="auto"/>
          <w:sz w:val="28"/>
          <w:szCs w:val="28"/>
          <w:highlight w:val="none"/>
          <w:lang w:eastAsia="zh-CN"/>
        </w:rPr>
      </w:pPr>
      <w:r>
        <w:rPr>
          <w:rFonts w:hint="eastAsia" w:ascii="黑体" w:hAnsi="黑体" w:cs="黑体"/>
          <w:b w:val="0"/>
          <w:bCs/>
          <w:color w:val="auto"/>
          <w:sz w:val="28"/>
          <w:szCs w:val="28"/>
          <w:highlight w:val="none"/>
        </w:rPr>
        <w:t>四、响应文件</w:t>
      </w:r>
      <w:bookmarkEnd w:id="19"/>
      <w:bookmarkEnd w:id="20"/>
      <w:bookmarkEnd w:id="21"/>
      <w:bookmarkEnd w:id="22"/>
      <w:bookmarkEnd w:id="23"/>
      <w:r>
        <w:rPr>
          <w:rFonts w:hint="eastAsia" w:ascii="黑体" w:hAnsi="黑体" w:cs="黑体"/>
          <w:b w:val="0"/>
          <w:bCs/>
          <w:color w:val="auto"/>
          <w:sz w:val="28"/>
          <w:szCs w:val="28"/>
          <w:highlight w:val="none"/>
          <w:lang w:eastAsia="zh-CN"/>
        </w:rPr>
        <w:t>递交</w:t>
      </w:r>
    </w:p>
    <w:p>
      <w:pPr>
        <w:spacing w:line="520" w:lineRule="exact"/>
        <w:ind w:firstLine="560" w:firstLineChars="200"/>
        <w:rPr>
          <w:rFonts w:ascii="仿宋" w:hAnsi="仿宋" w:eastAsia="仿宋" w:cs="仿宋"/>
          <w:bCs/>
          <w:color w:val="auto"/>
          <w:sz w:val="28"/>
          <w:szCs w:val="28"/>
          <w:highlight w:val="none"/>
        </w:rPr>
      </w:pPr>
      <w:bookmarkStart w:id="24" w:name="_Toc35393802"/>
      <w:bookmarkStart w:id="25" w:name="_Toc35393633"/>
      <w:bookmarkStart w:id="26" w:name="_Toc28359016"/>
      <w:bookmarkStart w:id="27" w:name="_Toc28359093"/>
      <w:bookmarkStart w:id="28" w:name="_Toc11900"/>
      <w:r>
        <w:rPr>
          <w:rFonts w:hint="eastAsia" w:ascii="仿宋" w:hAnsi="仿宋" w:eastAsia="仿宋" w:cs="仿宋"/>
          <w:color w:val="auto"/>
          <w:sz w:val="28"/>
          <w:szCs w:val="28"/>
          <w:highlight w:val="none"/>
        </w:rPr>
        <w:t>1、截止时间：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2024</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lang w:val="en-US" w:eastAsia="zh-CN"/>
        </w:rPr>
        <w:t xml:space="preserve"> 3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15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 xml:space="preserve">9 </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lang w:val="en-US" w:eastAsia="zh-CN"/>
        </w:rPr>
        <w:t xml:space="preserve"> 00 </w:t>
      </w:r>
      <w:r>
        <w:rPr>
          <w:rFonts w:hint="eastAsia" w:ascii="仿宋" w:hAnsi="仿宋" w:eastAsia="仿宋" w:cs="仿宋"/>
          <w:bCs/>
          <w:color w:val="auto"/>
          <w:sz w:val="28"/>
          <w:szCs w:val="28"/>
          <w:highlight w:val="none"/>
        </w:rPr>
        <w:t>分（北京时间）</w:t>
      </w:r>
    </w:p>
    <w:p>
      <w:pPr>
        <w:pStyle w:val="120"/>
        <w:spacing w:line="480" w:lineRule="exact"/>
        <w:ind w:left="0" w:leftChars="0" w:firstLine="560" w:firstLineChars="2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提交</w:t>
      </w:r>
      <w:r>
        <w:rPr>
          <w:rFonts w:hint="eastAsia" w:ascii="仿宋" w:hAnsi="仿宋" w:eastAsia="仿宋" w:cs="仿宋"/>
          <w:color w:val="auto"/>
          <w:sz w:val="28"/>
          <w:szCs w:val="28"/>
          <w:highlight w:val="none"/>
          <w:lang w:eastAsia="zh-CN"/>
        </w:rPr>
        <w:t>方式：</w:t>
      </w:r>
      <w:r>
        <w:rPr>
          <w:rFonts w:hint="eastAsia" w:ascii="仿宋" w:hAnsi="仿宋" w:eastAsia="仿宋" w:cs="仿宋"/>
          <w:color w:val="auto"/>
          <w:kern w:val="0"/>
          <w:sz w:val="28"/>
          <w:szCs w:val="28"/>
          <w:highlight w:val="none"/>
          <w:lang w:val="en-US" w:eastAsia="zh-CN" w:bidi="ar-SA"/>
        </w:rPr>
        <w:t>霍山永达工程咨询有限公司开标厅</w:t>
      </w:r>
    </w:p>
    <w:p>
      <w:pPr>
        <w:pStyle w:val="8"/>
        <w:adjustRightInd/>
        <w:spacing w:before="0" w:after="0" w:line="520" w:lineRule="exact"/>
        <w:jc w:val="both"/>
        <w:textAlignment w:val="auto"/>
        <w:rPr>
          <w:rFonts w:ascii="黑体" w:hAnsi="黑体" w:cs="黑体"/>
          <w:b w:val="0"/>
          <w:bCs/>
          <w:color w:val="auto"/>
          <w:sz w:val="28"/>
          <w:szCs w:val="28"/>
          <w:highlight w:val="none"/>
        </w:rPr>
      </w:pPr>
      <w:r>
        <w:rPr>
          <w:rFonts w:hint="eastAsia" w:ascii="黑体" w:hAnsi="黑体" w:cs="黑体"/>
          <w:b w:val="0"/>
          <w:bCs/>
          <w:color w:val="auto"/>
          <w:sz w:val="28"/>
          <w:szCs w:val="28"/>
          <w:highlight w:val="none"/>
        </w:rPr>
        <w:t>五、</w:t>
      </w:r>
      <w:bookmarkEnd w:id="24"/>
      <w:bookmarkEnd w:id="25"/>
      <w:bookmarkEnd w:id="26"/>
      <w:bookmarkEnd w:id="27"/>
      <w:r>
        <w:rPr>
          <w:rFonts w:hint="eastAsia" w:ascii="黑体" w:hAnsi="黑体" w:cs="黑体"/>
          <w:b w:val="0"/>
          <w:bCs/>
          <w:color w:val="auto"/>
          <w:sz w:val="28"/>
          <w:szCs w:val="28"/>
          <w:highlight w:val="none"/>
        </w:rPr>
        <w:t>响应文件开启</w:t>
      </w:r>
      <w:bookmarkEnd w:id="28"/>
    </w:p>
    <w:p>
      <w:pPr>
        <w:spacing w:line="520" w:lineRule="exact"/>
        <w:ind w:firstLine="560" w:firstLineChars="200"/>
        <w:rPr>
          <w:rFonts w:ascii="仿宋" w:hAnsi="仿宋" w:eastAsia="仿宋" w:cs="仿宋"/>
          <w:color w:val="auto"/>
          <w:sz w:val="28"/>
          <w:szCs w:val="28"/>
          <w:highlight w:val="none"/>
          <w:u w:val="single"/>
        </w:rPr>
      </w:pPr>
      <w:bookmarkStart w:id="29" w:name="_Toc35393634"/>
      <w:bookmarkStart w:id="30" w:name="_Toc28359017"/>
      <w:bookmarkStart w:id="31" w:name="_Toc6439"/>
      <w:bookmarkStart w:id="32" w:name="_Toc35393803"/>
      <w:bookmarkStart w:id="33" w:name="_Toc28359094"/>
      <w:r>
        <w:rPr>
          <w:rFonts w:hint="eastAsia" w:ascii="仿宋" w:hAnsi="仿宋" w:eastAsia="仿宋" w:cs="仿宋"/>
          <w:color w:val="auto"/>
          <w:sz w:val="28"/>
          <w:szCs w:val="28"/>
          <w:highlight w:val="none"/>
        </w:rPr>
        <w:t>1、时间：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2024</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lang w:val="en-US" w:eastAsia="zh-CN"/>
        </w:rPr>
        <w:t xml:space="preserve"> 3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lang w:val="en-US" w:eastAsia="zh-CN"/>
        </w:rPr>
        <w:t xml:space="preserve"> 15 </w:t>
      </w:r>
      <w:r>
        <w:rPr>
          <w:rFonts w:hint="eastAsia" w:ascii="仿宋" w:hAnsi="仿宋" w:eastAsia="仿宋" w:cs="仿宋"/>
          <w:bCs/>
          <w:color w:val="auto"/>
          <w:sz w:val="28"/>
          <w:szCs w:val="28"/>
          <w:highlight w:val="none"/>
        </w:rPr>
        <w:t>日</w:t>
      </w:r>
      <w:r>
        <w:rPr>
          <w:rFonts w:hint="eastAsia" w:ascii="仿宋" w:hAnsi="仿宋" w:eastAsia="仿宋" w:cs="仿宋"/>
          <w:bCs/>
          <w:color w:val="auto"/>
          <w:sz w:val="28"/>
          <w:szCs w:val="28"/>
          <w:highlight w:val="none"/>
          <w:u w:val="single"/>
          <w:lang w:val="en-US" w:eastAsia="zh-CN"/>
        </w:rPr>
        <w:t xml:space="preserve"> 9 </w:t>
      </w:r>
      <w:r>
        <w:rPr>
          <w:rFonts w:hint="eastAsia" w:ascii="仿宋" w:hAnsi="仿宋" w:eastAsia="仿宋" w:cs="仿宋"/>
          <w:bCs/>
          <w:color w:val="auto"/>
          <w:sz w:val="28"/>
          <w:szCs w:val="28"/>
          <w:highlight w:val="none"/>
        </w:rPr>
        <w:t>点</w:t>
      </w:r>
      <w:r>
        <w:rPr>
          <w:rFonts w:hint="eastAsia" w:ascii="仿宋" w:hAnsi="仿宋" w:eastAsia="仿宋" w:cs="仿宋"/>
          <w:bCs/>
          <w:color w:val="auto"/>
          <w:sz w:val="28"/>
          <w:szCs w:val="28"/>
          <w:highlight w:val="none"/>
          <w:u w:val="single"/>
          <w:lang w:val="en-US" w:eastAsia="zh-CN"/>
        </w:rPr>
        <w:t xml:space="preserve"> 00 </w:t>
      </w:r>
      <w:r>
        <w:rPr>
          <w:rFonts w:hint="eastAsia" w:ascii="仿宋" w:hAnsi="仿宋" w:eastAsia="仿宋" w:cs="仿宋"/>
          <w:bCs/>
          <w:color w:val="auto"/>
          <w:sz w:val="28"/>
          <w:szCs w:val="28"/>
          <w:highlight w:val="none"/>
        </w:rPr>
        <w:t>分</w:t>
      </w:r>
      <w:r>
        <w:rPr>
          <w:rFonts w:hint="eastAsia" w:ascii="仿宋" w:hAnsi="仿宋" w:eastAsia="仿宋" w:cs="仿宋"/>
          <w:color w:val="auto"/>
          <w:sz w:val="28"/>
          <w:szCs w:val="28"/>
          <w:highlight w:val="none"/>
        </w:rPr>
        <w:t>（北京时间）</w:t>
      </w:r>
    </w:p>
    <w:p>
      <w:pPr>
        <w:pStyle w:val="120"/>
        <w:spacing w:line="480" w:lineRule="exact"/>
        <w:ind w:left="0" w:leftChars="0"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2、地点：</w:t>
      </w:r>
      <w:r>
        <w:rPr>
          <w:rFonts w:hint="eastAsia" w:ascii="仿宋" w:hAnsi="仿宋" w:eastAsia="仿宋" w:cs="仿宋"/>
          <w:color w:val="auto"/>
          <w:kern w:val="0"/>
          <w:sz w:val="28"/>
          <w:szCs w:val="28"/>
          <w:highlight w:val="none"/>
          <w:lang w:val="en-US" w:eastAsia="zh-CN" w:bidi="ar-SA"/>
        </w:rPr>
        <w:t>霍山永达工程咨询有限公司开标厅</w:t>
      </w:r>
    </w:p>
    <w:p>
      <w:pPr>
        <w:pStyle w:val="8"/>
        <w:adjustRightInd/>
        <w:spacing w:before="0" w:after="0" w:line="520" w:lineRule="exact"/>
        <w:jc w:val="both"/>
        <w:textAlignment w:val="auto"/>
        <w:rPr>
          <w:rFonts w:ascii="黑体" w:hAnsi="黑体" w:cs="黑体"/>
          <w:b w:val="0"/>
          <w:bCs/>
          <w:color w:val="auto"/>
          <w:sz w:val="28"/>
          <w:szCs w:val="28"/>
          <w:highlight w:val="none"/>
        </w:rPr>
      </w:pPr>
      <w:r>
        <w:rPr>
          <w:rFonts w:hint="eastAsia" w:ascii="黑体" w:hAnsi="黑体" w:cs="黑体"/>
          <w:b w:val="0"/>
          <w:bCs/>
          <w:color w:val="auto"/>
          <w:sz w:val="28"/>
          <w:szCs w:val="28"/>
          <w:highlight w:val="none"/>
        </w:rPr>
        <w:t>六、公告期限</w:t>
      </w:r>
      <w:bookmarkEnd w:id="29"/>
      <w:bookmarkEnd w:id="30"/>
      <w:bookmarkEnd w:id="31"/>
      <w:bookmarkEnd w:id="32"/>
      <w:bookmarkEnd w:id="33"/>
    </w:p>
    <w:p>
      <w:pPr>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w:t>
      </w:r>
      <w:r>
        <w:rPr>
          <w:rFonts w:hint="eastAsia" w:ascii="仿宋" w:hAnsi="仿宋" w:eastAsia="仿宋" w:cs="仿宋"/>
          <w:color w:val="auto"/>
          <w:kern w:val="0"/>
          <w:sz w:val="28"/>
          <w:szCs w:val="28"/>
          <w:highlight w:val="none"/>
          <w:lang w:val="en-US" w:eastAsia="zh-CN"/>
        </w:rPr>
        <w:t>5个工作日</w:t>
      </w:r>
      <w:r>
        <w:rPr>
          <w:rFonts w:hint="eastAsia" w:ascii="仿宋" w:hAnsi="仿宋" w:eastAsia="仿宋" w:cs="仿宋"/>
          <w:color w:val="auto"/>
          <w:kern w:val="0"/>
          <w:sz w:val="28"/>
          <w:szCs w:val="28"/>
          <w:highlight w:val="none"/>
        </w:rPr>
        <w:t>。</w:t>
      </w:r>
    </w:p>
    <w:p>
      <w:pPr>
        <w:numPr>
          <w:ilvl w:val="0"/>
          <w:numId w:val="2"/>
        </w:numPr>
        <w:spacing w:line="520" w:lineRule="exact"/>
        <w:rPr>
          <w:rFonts w:hint="eastAsia" w:ascii="黑体" w:hAnsi="黑体" w:eastAsia="黑体" w:cs="黑体"/>
          <w:color w:val="auto"/>
          <w:sz w:val="28"/>
          <w:szCs w:val="28"/>
          <w:highlight w:val="none"/>
        </w:rPr>
      </w:pPr>
      <w:bookmarkStart w:id="34" w:name="_Toc35393804"/>
      <w:bookmarkStart w:id="35" w:name="_Toc35393635"/>
      <w:r>
        <w:rPr>
          <w:rFonts w:hint="eastAsia" w:ascii="黑体" w:hAnsi="黑体" w:eastAsia="黑体" w:cs="黑体"/>
          <w:color w:val="auto"/>
          <w:sz w:val="28"/>
          <w:szCs w:val="28"/>
          <w:highlight w:val="none"/>
        </w:rPr>
        <w:t>其他事宜</w:t>
      </w:r>
      <w:bookmarkEnd w:id="34"/>
      <w:bookmarkEnd w:id="35"/>
      <w:bookmarkStart w:id="36" w:name="_Toc28359095"/>
      <w:bookmarkStart w:id="37" w:name="_Toc28359018"/>
      <w:bookmarkStart w:id="38" w:name="_Toc35393805"/>
      <w:bookmarkStart w:id="39" w:name="_Toc35393636"/>
    </w:p>
    <w:p>
      <w:pPr>
        <w:widowControl/>
        <w:shd w:val="clear" w:color="auto" w:fill="FFFFFF"/>
        <w:spacing w:line="520" w:lineRule="exact"/>
        <w:ind w:firstLine="560" w:firstLineChars="200"/>
        <w:jc w:val="left"/>
        <w:rPr>
          <w:rFonts w:hint="eastAsia" w:ascii="仿宋" w:hAnsi="仿宋" w:eastAsia="仿宋" w:cs="仿宋"/>
          <w:color w:val="auto"/>
          <w:sz w:val="28"/>
          <w:szCs w:val="28"/>
          <w:highlight w:val="none"/>
          <w:lang w:val="en-US" w:eastAsia="zh-CN"/>
        </w:rPr>
      </w:pPr>
      <w:bookmarkStart w:id="40" w:name="_Toc7807"/>
      <w:bookmarkStart w:id="41" w:name="_Toc21256"/>
      <w:r>
        <w:rPr>
          <w:rFonts w:hint="eastAsia" w:ascii="仿宋" w:hAnsi="仿宋" w:eastAsia="仿宋" w:cs="仿宋"/>
          <w:bCs/>
          <w:color w:val="auto"/>
          <w:kern w:val="0"/>
          <w:sz w:val="28"/>
          <w:szCs w:val="28"/>
          <w:highlight w:val="none"/>
          <w:lang w:val="en-US" w:eastAsia="zh-CN"/>
        </w:rPr>
        <w:t>1、</w:t>
      </w:r>
      <w:r>
        <w:rPr>
          <w:rFonts w:hint="eastAsia" w:ascii="仿宋" w:hAnsi="仿宋" w:eastAsia="仿宋" w:cs="仿宋"/>
          <w:bCs/>
          <w:color w:val="auto"/>
          <w:kern w:val="0"/>
          <w:sz w:val="28"/>
          <w:szCs w:val="28"/>
          <w:highlight w:val="none"/>
        </w:rPr>
        <w:t>响应保证金：本项目无需提供。</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2、严禁恶意低价或恶意高价竞标，对恶意低价或恶意高价竞标的，采购人有权进行调查处理，经查证属实的，其响应资格无效，同时给予限制投标资格等处理。</w:t>
      </w:r>
    </w:p>
    <w:p>
      <w:pPr>
        <w:pStyle w:val="8"/>
        <w:adjustRightInd/>
        <w:spacing w:before="0" w:after="0" w:line="520" w:lineRule="exact"/>
        <w:jc w:val="both"/>
        <w:textAlignment w:val="auto"/>
        <w:rPr>
          <w:rFonts w:ascii="黑体" w:hAnsi="黑体" w:cs="黑体"/>
          <w:b w:val="0"/>
          <w:bCs/>
          <w:color w:val="auto"/>
          <w:sz w:val="28"/>
          <w:szCs w:val="28"/>
          <w:highlight w:val="none"/>
        </w:rPr>
      </w:pPr>
      <w:r>
        <w:rPr>
          <w:rFonts w:hint="eastAsia" w:ascii="黑体" w:hAnsi="黑体" w:cs="黑体"/>
          <w:b w:val="0"/>
          <w:bCs/>
          <w:color w:val="auto"/>
          <w:sz w:val="28"/>
          <w:szCs w:val="28"/>
          <w:highlight w:val="none"/>
        </w:rPr>
        <w:t>八、</w:t>
      </w:r>
      <w:r>
        <w:rPr>
          <w:rFonts w:hint="eastAsia" w:ascii="黑体" w:hAnsi="黑体" w:cs="黑体"/>
          <w:b w:val="0"/>
          <w:bCs/>
          <w:color w:val="auto"/>
          <w:sz w:val="28"/>
          <w:szCs w:val="28"/>
          <w:highlight w:val="none"/>
          <w:lang w:eastAsia="zh-CN"/>
        </w:rPr>
        <w:t>凡</w:t>
      </w:r>
      <w:r>
        <w:rPr>
          <w:rFonts w:hint="eastAsia" w:ascii="黑体" w:hAnsi="黑体" w:cs="黑体"/>
          <w:b w:val="0"/>
          <w:bCs/>
          <w:color w:val="auto"/>
          <w:sz w:val="28"/>
          <w:szCs w:val="28"/>
          <w:highlight w:val="none"/>
        </w:rPr>
        <w:t>对本次采购提出询问，请按以下方式联系。</w:t>
      </w:r>
      <w:bookmarkEnd w:id="36"/>
      <w:bookmarkEnd w:id="37"/>
      <w:bookmarkEnd w:id="38"/>
      <w:bookmarkEnd w:id="39"/>
      <w:bookmarkEnd w:id="40"/>
      <w:bookmarkEnd w:id="41"/>
    </w:p>
    <w:p>
      <w:pPr>
        <w:spacing w:line="520" w:lineRule="exact"/>
        <w:ind w:firstLine="560" w:firstLineChars="200"/>
        <w:rPr>
          <w:rFonts w:hint="eastAsia" w:ascii="仿宋" w:hAnsi="仿宋" w:eastAsia="仿宋" w:cs="仿宋"/>
          <w:color w:val="auto"/>
          <w:sz w:val="28"/>
          <w:szCs w:val="28"/>
          <w:highlight w:val="none"/>
          <w:lang w:val="en-US" w:eastAsia="zh-CN"/>
        </w:rPr>
      </w:pPr>
      <w:bookmarkStart w:id="42" w:name="_Toc35393637"/>
      <w:bookmarkStart w:id="43" w:name="_Toc35393806"/>
      <w:bookmarkStart w:id="44" w:name="_Toc28359096"/>
      <w:bookmarkStart w:id="45" w:name="_Toc12167"/>
      <w:bookmarkStart w:id="46" w:name="_Toc28359019"/>
      <w:bookmarkStart w:id="47" w:name="_Toc25886"/>
      <w:r>
        <w:rPr>
          <w:rFonts w:hint="eastAsia" w:ascii="仿宋" w:hAnsi="仿宋" w:eastAsia="仿宋" w:cs="仿宋"/>
          <w:color w:val="auto"/>
          <w:sz w:val="28"/>
          <w:szCs w:val="28"/>
          <w:highlight w:val="none"/>
          <w:lang w:val="en-US" w:eastAsia="zh-CN"/>
        </w:rPr>
        <w:t>1、采购人信息</w:t>
      </w:r>
      <w:bookmarkEnd w:id="42"/>
      <w:bookmarkEnd w:id="43"/>
      <w:bookmarkEnd w:id="44"/>
      <w:bookmarkEnd w:id="45"/>
      <w:bookmarkEnd w:id="46"/>
      <w:bookmarkEnd w:id="47"/>
    </w:p>
    <w:p>
      <w:pPr>
        <w:spacing w:line="520" w:lineRule="exact"/>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称：霍山县水利工程项目建设中心、安徽大别山水利投资有限公司</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址：安徽省六安市霍山县衡山镇南岳东路40号</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联系方式：张先生   </w:t>
      </w:r>
      <w:r>
        <w:rPr>
          <w:rFonts w:hint="eastAsia" w:ascii="仿宋" w:hAnsi="仿宋" w:eastAsia="仿宋" w:cs="仿宋"/>
          <w:bCs/>
          <w:sz w:val="28"/>
          <w:szCs w:val="28"/>
          <w:lang w:val="en-US" w:eastAsia="zh-CN"/>
        </w:rPr>
        <w:t>0564-5022803</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2、代理机构信息</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名称：霍山永达工程咨询有限公司</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地址：霍山县中兴南路14号</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项目联系人：鲍先生</w:t>
      </w:r>
    </w:p>
    <w:p>
      <w:pPr>
        <w:spacing w:line="52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电  话：0564-5022803、18005649621</w:t>
      </w:r>
    </w:p>
    <w:p>
      <w:pPr>
        <w:spacing w:line="520" w:lineRule="exact"/>
        <w:jc w:val="right"/>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w:t>
      </w:r>
    </w:p>
    <w:p>
      <w:pPr>
        <w:spacing w:line="520" w:lineRule="exact"/>
        <w:jc w:val="right"/>
        <w:rPr>
          <w:rFonts w:hint="eastAsia" w:ascii="仿宋" w:hAnsi="仿宋" w:eastAsia="仿宋" w:cs="仿宋"/>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 xml:space="preserve"> 2024</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lang w:val="en-US" w:eastAsia="zh-CN"/>
        </w:rPr>
        <w:t>4</w:t>
      </w:r>
      <w:r>
        <w:rPr>
          <w:rFonts w:hint="eastAsia" w:ascii="仿宋" w:hAnsi="仿宋" w:eastAsia="仿宋" w:cs="仿宋"/>
          <w:bCs/>
          <w:color w:val="auto"/>
          <w:sz w:val="28"/>
          <w:szCs w:val="28"/>
          <w:highlight w:val="none"/>
        </w:rPr>
        <w:t>日</w:t>
      </w:r>
    </w:p>
    <w:p>
      <w:pPr>
        <w:jc w:val="center"/>
        <w:rPr>
          <w:rFonts w:ascii="宋体" w:hAnsi="宋体" w:eastAsia="宋体" w:cs="宋体"/>
          <w:b/>
          <w:bCs/>
          <w:color w:val="auto"/>
          <w:sz w:val="28"/>
          <w:szCs w:val="28"/>
          <w:highlight w:val="none"/>
        </w:rPr>
      </w:pPr>
      <w:r>
        <w:rPr>
          <w:rFonts w:hint="eastAsia" w:ascii="宋体" w:hAnsi="宋体" w:cs="宋体"/>
          <w:color w:val="auto"/>
          <w:sz w:val="28"/>
          <w:szCs w:val="28"/>
          <w:highlight w:val="none"/>
        </w:rPr>
        <w:br w:type="page"/>
      </w:r>
      <w:bookmarkStart w:id="48" w:name="_Toc21819"/>
      <w:r>
        <w:rPr>
          <w:rFonts w:hint="eastAsia" w:ascii="宋体" w:hAnsi="宋体" w:eastAsia="宋体" w:cs="宋体"/>
          <w:b/>
          <w:bCs/>
          <w:color w:val="auto"/>
          <w:sz w:val="28"/>
          <w:szCs w:val="28"/>
          <w:highlight w:val="none"/>
        </w:rPr>
        <w:t>一、供应商须知</w:t>
      </w:r>
      <w:bookmarkEnd w:id="2"/>
      <w:bookmarkEnd w:id="3"/>
      <w:bookmarkEnd w:id="48"/>
    </w:p>
    <w:p>
      <w:pPr>
        <w:pStyle w:val="8"/>
        <w:spacing w:before="0" w:after="0" w:line="560" w:lineRule="exact"/>
        <w:jc w:val="center"/>
        <w:rPr>
          <w:rFonts w:ascii="宋体" w:hAnsi="宋体" w:eastAsia="宋体" w:cs="宋体"/>
          <w:color w:val="auto"/>
          <w:sz w:val="24"/>
          <w:szCs w:val="24"/>
          <w:highlight w:val="none"/>
        </w:rPr>
      </w:pPr>
      <w:bookmarkStart w:id="49" w:name="_Toc22568"/>
      <w:r>
        <w:rPr>
          <w:rFonts w:hint="eastAsia" w:ascii="宋体" w:hAnsi="宋体" w:eastAsia="宋体" w:cs="宋体"/>
          <w:color w:val="auto"/>
          <w:sz w:val="24"/>
          <w:szCs w:val="24"/>
          <w:highlight w:val="none"/>
        </w:rPr>
        <w:t>（一）须知前附表</w:t>
      </w:r>
      <w:bookmarkEnd w:id="49"/>
    </w:p>
    <w:tbl>
      <w:tblPr>
        <w:tblStyle w:val="38"/>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color w:val="auto"/>
                <w:sz w:val="24"/>
                <w:szCs w:val="24"/>
                <w:highlight w:val="none"/>
              </w:rPr>
            </w:pPr>
            <w:bookmarkStart w:id="50" w:name="_Toc438107743"/>
            <w:bookmarkStart w:id="51" w:name="_Toc363199267"/>
            <w:bookmarkStart w:id="52" w:name="_Toc216158627"/>
            <w:r>
              <w:rPr>
                <w:rFonts w:hint="eastAsia" w:ascii="宋体" w:hAnsi="宋体"/>
                <w:b/>
                <w:color w:val="auto"/>
                <w:sz w:val="24"/>
                <w:szCs w:val="24"/>
                <w:highlight w:val="none"/>
              </w:rPr>
              <w:t>序号</w:t>
            </w:r>
          </w:p>
        </w:tc>
        <w:tc>
          <w:tcPr>
            <w:tcW w:w="1502" w:type="dxa"/>
            <w:vAlign w:val="center"/>
          </w:tcPr>
          <w:p>
            <w:pPr>
              <w:spacing w:line="440" w:lineRule="exact"/>
              <w:jc w:val="center"/>
              <w:rPr>
                <w:rFonts w:ascii="宋体" w:hAnsi="宋体"/>
                <w:b/>
                <w:color w:val="auto"/>
                <w:sz w:val="24"/>
                <w:szCs w:val="24"/>
                <w:highlight w:val="none"/>
              </w:rPr>
            </w:pPr>
            <w:r>
              <w:rPr>
                <w:rFonts w:hint="eastAsia" w:ascii="宋体" w:hAnsi="宋体"/>
                <w:b/>
                <w:color w:val="auto"/>
                <w:sz w:val="24"/>
                <w:szCs w:val="24"/>
                <w:highlight w:val="none"/>
              </w:rPr>
              <w:t>内容</w:t>
            </w:r>
          </w:p>
        </w:tc>
        <w:tc>
          <w:tcPr>
            <w:tcW w:w="7430" w:type="dxa"/>
            <w:vAlign w:val="center"/>
          </w:tcPr>
          <w:p>
            <w:pPr>
              <w:pStyle w:val="101"/>
              <w:widowControl w:val="0"/>
              <w:spacing w:before="0" w:beforeAutospacing="0" w:after="0" w:afterAutospacing="0" w:line="440" w:lineRule="exact"/>
              <w:rPr>
                <w:bCs w:val="0"/>
                <w:color w:val="auto"/>
                <w:kern w:val="2"/>
                <w:sz w:val="24"/>
                <w:szCs w:val="24"/>
                <w:highlight w:val="none"/>
              </w:rPr>
            </w:pPr>
            <w:r>
              <w:rPr>
                <w:rFonts w:hint="eastAsia"/>
                <w:bCs w:val="0"/>
                <w:color w:val="auto"/>
                <w:kern w:val="2"/>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1</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bCs/>
                <w:color w:val="auto"/>
                <w:sz w:val="24"/>
                <w:szCs w:val="24"/>
                <w:highlight w:val="none"/>
              </w:rPr>
              <w:t>采购人</w:t>
            </w:r>
          </w:p>
        </w:tc>
        <w:tc>
          <w:tcPr>
            <w:tcW w:w="7430" w:type="dxa"/>
            <w:vAlign w:val="center"/>
          </w:tcPr>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霍山县水利工程项目建设中心</w:t>
            </w:r>
          </w:p>
          <w:p>
            <w:pPr>
              <w:spacing w:line="440" w:lineRule="exact"/>
              <w:jc w:val="left"/>
              <w:rPr>
                <w:rFonts w:hint="eastAsia" w:eastAsia="宋体"/>
                <w:color w:val="auto"/>
                <w:sz w:val="24"/>
                <w:szCs w:val="24"/>
                <w:highlight w:val="none"/>
                <w:lang w:eastAsia="zh-CN"/>
              </w:rPr>
            </w:pPr>
            <w:r>
              <w:rPr>
                <w:rFonts w:hint="eastAsia" w:ascii="宋体" w:hAnsi="宋体"/>
                <w:color w:val="auto"/>
                <w:sz w:val="24"/>
                <w:szCs w:val="24"/>
                <w:highlight w:val="none"/>
                <w:lang w:eastAsia="zh-CN"/>
              </w:rPr>
              <w:t>安徽大别山水利投资有限公司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2</w:t>
            </w:r>
          </w:p>
        </w:tc>
        <w:tc>
          <w:tcPr>
            <w:tcW w:w="1502" w:type="dxa"/>
            <w:vAlign w:val="center"/>
          </w:tcPr>
          <w:p>
            <w:pPr>
              <w:spacing w:line="440" w:lineRule="exact"/>
              <w:jc w:val="center"/>
              <w:rPr>
                <w:rFonts w:ascii="宋体" w:hAnsi="宋体"/>
                <w:bCs/>
                <w:color w:val="auto"/>
                <w:sz w:val="24"/>
                <w:szCs w:val="24"/>
                <w:highlight w:val="none"/>
              </w:rPr>
            </w:pPr>
            <w:r>
              <w:rPr>
                <w:rFonts w:hint="eastAsia" w:ascii="宋体" w:hAnsi="宋体"/>
                <w:color w:val="auto"/>
                <w:sz w:val="24"/>
                <w:szCs w:val="24"/>
                <w:highlight w:val="none"/>
              </w:rPr>
              <w:t>采购代理机构</w:t>
            </w:r>
          </w:p>
        </w:tc>
        <w:tc>
          <w:tcPr>
            <w:tcW w:w="7430" w:type="dxa"/>
            <w:vAlign w:val="center"/>
          </w:tcPr>
          <w:p>
            <w:pPr>
              <w:spacing w:line="440" w:lineRule="exact"/>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霍山永达工程咨询有限公司</w:t>
            </w:r>
          </w:p>
          <w:p>
            <w:pPr>
              <w:spacing w:line="440" w:lineRule="exact"/>
              <w:jc w:val="left"/>
              <w:rPr>
                <w:rFonts w:hint="eastAsia" w:eastAsia="宋体"/>
                <w:b/>
                <w:bCs/>
                <w:color w:val="auto"/>
                <w:sz w:val="24"/>
                <w:szCs w:val="24"/>
                <w:highlight w:val="none"/>
                <w:lang w:eastAsia="zh-CN"/>
              </w:rPr>
            </w:pPr>
            <w:r>
              <w:rPr>
                <w:rFonts w:hint="eastAsia"/>
                <w:color w:val="auto"/>
                <w:sz w:val="24"/>
                <w:szCs w:val="24"/>
                <w:highlight w:val="none"/>
              </w:rPr>
              <w:t>地址：</w:t>
            </w:r>
            <w:r>
              <w:rPr>
                <w:rFonts w:hint="eastAsia"/>
                <w:color w:val="auto"/>
                <w:sz w:val="24"/>
                <w:szCs w:val="24"/>
                <w:highlight w:val="none"/>
                <w:lang w:eastAsia="zh-CN"/>
              </w:rPr>
              <w:t>霍山县中兴南路14号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3</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磋商有效期</w:t>
            </w:r>
          </w:p>
        </w:tc>
        <w:tc>
          <w:tcPr>
            <w:tcW w:w="7430" w:type="dxa"/>
            <w:vAlign w:val="center"/>
          </w:tcPr>
          <w:p>
            <w:pPr>
              <w:pStyle w:val="101"/>
              <w:widowControl w:val="0"/>
              <w:spacing w:before="0" w:beforeAutospacing="0" w:after="0" w:afterAutospacing="0" w:line="440" w:lineRule="exact"/>
              <w:jc w:val="both"/>
              <w:rPr>
                <w:b w:val="0"/>
                <w:bCs w:val="0"/>
                <w:color w:val="auto"/>
                <w:sz w:val="24"/>
                <w:szCs w:val="24"/>
                <w:highlight w:val="none"/>
              </w:rPr>
            </w:pPr>
            <w:r>
              <w:rPr>
                <w:rFonts w:hint="eastAsia"/>
                <w:b w:val="0"/>
                <w:bCs w:val="0"/>
                <w:color w:val="auto"/>
                <w:sz w:val="24"/>
                <w:szCs w:val="24"/>
                <w:highlight w:val="none"/>
              </w:rPr>
              <w:t>响应文件提交截止日后</w:t>
            </w:r>
            <w:r>
              <w:rPr>
                <w:rFonts w:hint="eastAsia"/>
                <w:b w:val="0"/>
                <w:bCs w:val="0"/>
                <w:color w:val="auto"/>
                <w:sz w:val="24"/>
                <w:szCs w:val="24"/>
                <w:highlight w:val="none"/>
                <w:lang w:val="en-US" w:eastAsia="zh-CN"/>
              </w:rPr>
              <w:t>30</w:t>
            </w:r>
            <w:r>
              <w:rPr>
                <w:rFonts w:hint="eastAsia"/>
                <w:b w:val="0"/>
                <w:bCs w:val="0"/>
                <w:color w:val="auto"/>
                <w:sz w:val="24"/>
                <w:szCs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4</w:t>
            </w:r>
          </w:p>
        </w:tc>
        <w:tc>
          <w:tcPr>
            <w:tcW w:w="1502" w:type="dxa"/>
            <w:vAlign w:val="center"/>
          </w:tcPr>
          <w:p>
            <w:pPr>
              <w:spacing w:line="440" w:lineRule="exact"/>
              <w:jc w:val="center"/>
              <w:rPr>
                <w:rFonts w:ascii="宋体" w:hAnsi="宋体"/>
                <w:b/>
                <w:color w:val="auto"/>
                <w:sz w:val="24"/>
                <w:szCs w:val="24"/>
                <w:highlight w:val="none"/>
              </w:rPr>
            </w:pPr>
            <w:r>
              <w:rPr>
                <w:rFonts w:hint="eastAsia" w:ascii="宋体" w:hAnsi="宋体"/>
                <w:b w:val="0"/>
                <w:bCs/>
                <w:color w:val="auto"/>
                <w:sz w:val="24"/>
                <w:szCs w:val="24"/>
                <w:highlight w:val="none"/>
              </w:rPr>
              <w:t>项目类型</w:t>
            </w:r>
          </w:p>
        </w:tc>
        <w:tc>
          <w:tcPr>
            <w:tcW w:w="7430" w:type="dxa"/>
            <w:vAlign w:val="center"/>
          </w:tcPr>
          <w:p>
            <w:pPr>
              <w:pStyle w:val="101"/>
              <w:widowControl w:val="0"/>
              <w:spacing w:before="0" w:beforeAutospacing="0" w:after="0" w:afterAutospacing="0" w:line="440" w:lineRule="exact"/>
              <w:jc w:val="both"/>
              <w:rPr>
                <w:b w:val="0"/>
                <w:bCs w:val="0"/>
                <w:color w:val="auto"/>
                <w:sz w:val="24"/>
                <w:szCs w:val="24"/>
                <w:highlight w:val="none"/>
              </w:rPr>
            </w:pPr>
            <w:r>
              <w:rPr>
                <w:rFonts w:hint="eastAsia"/>
                <w:b w:val="0"/>
                <w:bCs w:val="0"/>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lang w:val="en-US"/>
              </w:rPr>
            </w:pPr>
            <w:r>
              <w:rPr>
                <w:rFonts w:hint="eastAsia" w:ascii="宋体" w:hAnsi="宋体"/>
                <w:b/>
                <w:color w:val="auto"/>
                <w:kern w:val="2"/>
                <w:szCs w:val="24"/>
                <w:highlight w:val="none"/>
                <w:lang w:val="en-US"/>
              </w:rPr>
              <w:t>5</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7430" w:type="dxa"/>
            <w:vAlign w:val="center"/>
          </w:tcPr>
          <w:p>
            <w:pPr>
              <w:pStyle w:val="101"/>
              <w:widowControl w:val="0"/>
              <w:spacing w:before="0" w:beforeAutospacing="0" w:after="0" w:afterAutospacing="0" w:line="440" w:lineRule="exact"/>
              <w:jc w:val="both"/>
              <w:rPr>
                <w:color w:val="auto"/>
                <w:sz w:val="24"/>
                <w:szCs w:val="24"/>
                <w:highlight w:val="none"/>
              </w:rPr>
            </w:pPr>
            <w:r>
              <w:rPr>
                <w:rFonts w:hint="eastAsia" w:cs="Times New Roman"/>
                <w:b w:val="0"/>
                <w:bCs w:val="0"/>
                <w:color w:val="auto"/>
                <w:kern w:val="2"/>
                <w:sz w:val="24"/>
                <w:szCs w:val="24"/>
                <w:highlight w:val="none"/>
                <w:lang w:val="en-US" w:eastAsia="zh-CN" w:bidi="ar-SA"/>
              </w:rPr>
              <w:t>淠河防洪治理工程（霍山段）环境保护监测及验收服务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6</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7430" w:type="dxa"/>
            <w:vAlign w:val="center"/>
          </w:tcPr>
          <w:p>
            <w:pPr>
              <w:pStyle w:val="101"/>
              <w:widowControl w:val="0"/>
              <w:spacing w:before="0" w:beforeAutospacing="0" w:after="0" w:afterAutospacing="0" w:line="440" w:lineRule="exact"/>
              <w:jc w:val="both"/>
              <w:rPr>
                <w:rFonts w:hint="default" w:eastAsia="宋体"/>
                <w:b w:val="0"/>
                <w:color w:val="auto"/>
                <w:sz w:val="24"/>
                <w:szCs w:val="24"/>
                <w:highlight w:val="none"/>
                <w:lang w:val="en-US" w:eastAsia="zh-CN"/>
              </w:rPr>
            </w:pPr>
            <w:r>
              <w:rPr>
                <w:rFonts w:hint="eastAsia"/>
                <w:b w:val="0"/>
                <w:color w:val="auto"/>
                <w:sz w:val="24"/>
                <w:szCs w:val="24"/>
                <w:highlight w:val="none"/>
                <w:lang w:val="en-US" w:eastAsia="zh-CN"/>
              </w:rPr>
              <w:t>HSYD-2024-0302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26"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7</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付款方式</w:t>
            </w:r>
          </w:p>
        </w:tc>
        <w:tc>
          <w:tcPr>
            <w:tcW w:w="7430" w:type="dxa"/>
            <w:vAlign w:val="center"/>
          </w:tcPr>
          <w:p>
            <w:pPr>
              <w:spacing w:line="440" w:lineRule="exact"/>
              <w:jc w:val="left"/>
              <w:rPr>
                <w:rFonts w:ascii="黑体" w:hAnsi="黑体" w:eastAsia="黑体" w:cs="黑体"/>
                <w:color w:val="auto"/>
                <w:sz w:val="24"/>
                <w:szCs w:val="24"/>
                <w:highlight w:val="none"/>
              </w:rPr>
            </w:pPr>
            <w:r>
              <w:rPr>
                <w:rFonts w:hint="eastAsia" w:ascii="宋体" w:hAnsi="宋体"/>
                <w:color w:val="auto"/>
                <w:sz w:val="24"/>
                <w:szCs w:val="24"/>
                <w:highlight w:val="none"/>
                <w:lang w:val="en-US" w:eastAsia="zh-CN"/>
              </w:rPr>
              <w:t>按照完成监测任务量金额占合同约定的总任务量金额比例按年度支付，在环境保护专项验收报告通过主管部门备案后付至合同额的90%；工程竣工验收后付清余款。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8</w:t>
            </w:r>
          </w:p>
        </w:tc>
        <w:tc>
          <w:tcPr>
            <w:tcW w:w="1502" w:type="dxa"/>
            <w:vAlign w:val="center"/>
          </w:tcPr>
          <w:p>
            <w:pPr>
              <w:spacing w:line="440" w:lineRule="exact"/>
              <w:jc w:val="center"/>
              <w:rPr>
                <w:rFonts w:ascii="宋体" w:hAnsi="宋体"/>
                <w:color w:val="auto"/>
                <w:sz w:val="24"/>
                <w:szCs w:val="24"/>
                <w:highlight w:val="none"/>
              </w:rPr>
            </w:pPr>
            <w:r>
              <w:rPr>
                <w:rFonts w:hint="eastAsia" w:ascii="宋体" w:hAnsi="宋体"/>
                <w:color w:val="auto"/>
                <w:sz w:val="24"/>
                <w:szCs w:val="24"/>
                <w:highlight w:val="none"/>
              </w:rPr>
              <w:t>服务期</w:t>
            </w:r>
          </w:p>
        </w:tc>
        <w:tc>
          <w:tcPr>
            <w:tcW w:w="7430" w:type="dxa"/>
            <w:vAlign w:val="center"/>
          </w:tcPr>
          <w:p>
            <w:pPr>
              <w:pStyle w:val="101"/>
              <w:widowControl w:val="0"/>
              <w:spacing w:before="0" w:beforeAutospacing="0" w:after="0" w:afterAutospacing="0" w:line="440" w:lineRule="exact"/>
              <w:jc w:val="both"/>
              <w:rPr>
                <w:rFonts w:hint="default" w:eastAsia="宋体"/>
                <w:b w:val="0"/>
                <w:bCs w:val="0"/>
                <w:color w:val="auto"/>
                <w:sz w:val="24"/>
                <w:szCs w:val="24"/>
                <w:highlight w:val="none"/>
                <w:lang w:val="en-US" w:eastAsia="zh-CN"/>
              </w:rPr>
            </w:pPr>
            <w:r>
              <w:rPr>
                <w:rFonts w:hint="eastAsia" w:ascii="宋体" w:hAnsi="宋体" w:eastAsia="宋体" w:cs="Times New Roman"/>
                <w:b w:val="0"/>
                <w:bCs w:val="0"/>
                <w:color w:val="auto"/>
                <w:kern w:val="2"/>
                <w:sz w:val="24"/>
                <w:szCs w:val="24"/>
                <w:highlight w:val="none"/>
                <w:lang w:val="en-US" w:eastAsia="zh-CN" w:bidi="ar-SA"/>
              </w:rPr>
              <w:t>自合同签订之日起至工程通过竣工验收止</w:t>
            </w:r>
            <w:r>
              <w:rPr>
                <w:rFonts w:hint="eastAsia" w:cs="Times New Roman"/>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13"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
                <w:color w:val="auto"/>
                <w:kern w:val="2"/>
                <w:szCs w:val="24"/>
                <w:highlight w:val="none"/>
              </w:rPr>
            </w:pPr>
            <w:r>
              <w:rPr>
                <w:rFonts w:hint="eastAsia" w:ascii="宋体" w:hAnsi="宋体"/>
                <w:b/>
                <w:color w:val="auto"/>
                <w:kern w:val="2"/>
                <w:szCs w:val="24"/>
                <w:highlight w:val="none"/>
              </w:rPr>
              <w:t>9</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color w:val="auto"/>
                <w:szCs w:val="24"/>
                <w:highlight w:val="none"/>
              </w:rPr>
            </w:pPr>
            <w:r>
              <w:rPr>
                <w:rFonts w:hint="eastAsia" w:ascii="宋体" w:hAnsi="宋体"/>
                <w:bCs/>
                <w:color w:val="auto"/>
                <w:kern w:val="2"/>
                <w:szCs w:val="24"/>
                <w:highlight w:val="none"/>
              </w:rPr>
              <w:t>中标服务费</w:t>
            </w:r>
          </w:p>
        </w:tc>
        <w:tc>
          <w:tcPr>
            <w:tcW w:w="7430" w:type="dxa"/>
            <w:vAlign w:val="center"/>
          </w:tcPr>
          <w:p>
            <w:pPr>
              <w:spacing w:line="440" w:lineRule="exact"/>
              <w:jc w:val="left"/>
              <w:rPr>
                <w:rFonts w:hint="eastAsia" w:ascii="宋体" w:hAnsi="宋体" w:eastAsia="宋体" w:cs="宋体"/>
                <w:bCs/>
                <w:color w:val="auto"/>
                <w:kern w:val="2"/>
                <w:sz w:val="24"/>
                <w:szCs w:val="24"/>
                <w:highlight w:val="none"/>
                <w:lang w:val="en-US" w:eastAsia="zh-CN" w:bidi="ar-SA"/>
              </w:rPr>
            </w:pPr>
            <w:r>
              <w:rPr>
                <w:rFonts w:hint="eastAsia" w:ascii="宋体" w:hAnsi="宋体"/>
                <w:color w:val="auto"/>
                <w:sz w:val="24"/>
                <w:szCs w:val="24"/>
                <w:highlight w:val="none"/>
                <w:lang w:val="en-US" w:eastAsia="zh-CN"/>
              </w:rPr>
              <w:t>供应商成交后在领取成交通知书前参照相关文件规定收取采购代理服务费,以上费用由成交人在领取成交通知书时支付。请各供应商充分考虑此项费用。供应商在报价时综合考虑上述费用，不单独列项。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10</w:t>
            </w:r>
          </w:p>
        </w:tc>
        <w:tc>
          <w:tcPr>
            <w:tcW w:w="1502" w:type="dxa"/>
            <w:vAlign w:val="center"/>
          </w:tcPr>
          <w:p>
            <w:pPr>
              <w:keepNext w:val="0"/>
              <w:keepLines w:val="0"/>
              <w:widowControl/>
              <w:suppressLineNumbers w:val="0"/>
              <w:jc w:val="center"/>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履约保证金</w:t>
            </w:r>
          </w:p>
          <w:p>
            <w:pPr>
              <w:keepNext w:val="0"/>
              <w:keepLines w:val="0"/>
              <w:widowControl/>
              <w:suppressLineNumbers w:val="0"/>
              <w:jc w:val="center"/>
              <w:rPr>
                <w:rFonts w:hint="eastAsia" w:ascii="宋体" w:hAnsi="宋体"/>
                <w:bCs/>
                <w:color w:val="auto"/>
                <w:kern w:val="2"/>
                <w:szCs w:val="24"/>
                <w:highlight w:val="none"/>
              </w:rPr>
            </w:pPr>
            <w:r>
              <w:rPr>
                <w:rFonts w:hint="eastAsia" w:ascii="宋体" w:hAnsi="宋体" w:eastAsia="宋体" w:cs="Times New Roman"/>
                <w:bCs/>
                <w:color w:val="auto"/>
                <w:kern w:val="2"/>
                <w:sz w:val="24"/>
                <w:szCs w:val="24"/>
                <w:highlight w:val="none"/>
                <w:lang w:val="en-US" w:eastAsia="zh-CN" w:bidi="ar-SA"/>
              </w:rPr>
              <w:t>（本项</w:t>
            </w:r>
            <w:r>
              <w:rPr>
                <w:rFonts w:hint="eastAsia" w:ascii="宋体" w:hAnsi="宋体" w:cs="Times New Roman"/>
                <w:bCs/>
                <w:color w:val="auto"/>
                <w:kern w:val="2"/>
                <w:sz w:val="24"/>
                <w:szCs w:val="24"/>
                <w:highlight w:val="none"/>
                <w:lang w:val="en-US" w:eastAsia="zh-CN" w:bidi="ar-SA"/>
              </w:rPr>
              <w:t>目</w:t>
            </w:r>
            <w:r>
              <w:rPr>
                <w:rFonts w:hint="eastAsia" w:ascii="宋体" w:hAnsi="宋体" w:eastAsia="宋体" w:cs="Times New Roman"/>
                <w:bCs/>
                <w:color w:val="auto"/>
                <w:kern w:val="2"/>
                <w:sz w:val="24"/>
                <w:szCs w:val="24"/>
                <w:highlight w:val="none"/>
                <w:lang w:val="en-US" w:eastAsia="zh-CN" w:bidi="ar-SA"/>
              </w:rPr>
              <w:t>无）</w:t>
            </w:r>
          </w:p>
        </w:tc>
        <w:tc>
          <w:tcPr>
            <w:tcW w:w="7430" w:type="dxa"/>
            <w:vAlign w:val="center"/>
          </w:tcPr>
          <w:p>
            <w:pPr>
              <w:spacing w:line="440" w:lineRule="exact"/>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成交人可以通过转账、网银支付、汇票、支票、保证保险、银行履约保函（含电子保函）等方式提交履约保证金。 </w:t>
            </w:r>
          </w:p>
          <w:p>
            <w:pPr>
              <w:spacing w:line="44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履约保证金数额：成交人按合同总价额即中标价的 2 ％提交履约保证金</w:t>
            </w:r>
          </w:p>
          <w:p>
            <w:pPr>
              <w:spacing w:line="440" w:lineRule="exact"/>
              <w:ind w:firstLine="480" w:firstLineChars="20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以现金进行履约保证的，应将现金提交以下指定的银行账户。成交人以银行履约保函或保证保险方式担保履约的，应将银行履约保函或保证保险交至采购人保管。成交人提交银行履约保函或保证保险的担保期限不得少于成交项目的合同期限。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银行履约保函或保证保险担保期限到期但成交项目尚未完工验收的，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成交人应当进行续保或者补缴履约保证金。成交人应当续保或者补缴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履约保证金而没有续保或者补缴履约保证金的，采购人可以暂停支付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成交人同等金额的合同款。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提交时限：签订合同前提交。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开户行：签订合同前由采购人提供 </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开户名：签订合同前由采购人提供</w:t>
            </w:r>
          </w:p>
          <w:p>
            <w:pPr>
              <w:spacing w:line="440" w:lineRule="exact"/>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 xml:space="preserve">账  户：签订合同前由采购人提供 </w:t>
            </w:r>
          </w:p>
          <w:p>
            <w:pPr>
              <w:spacing w:line="440" w:lineRule="exact"/>
              <w:jc w:val="left"/>
              <w:rPr>
                <w:rFonts w:hint="eastAsia" w:ascii="宋体" w:hAnsi="宋体" w:eastAsia="宋体" w:cs="宋体"/>
                <w:bCs/>
                <w:color w:val="auto"/>
                <w:kern w:val="2"/>
                <w:sz w:val="24"/>
                <w:szCs w:val="24"/>
                <w:highlight w:val="none"/>
                <w:lang w:val="zh-CN" w:eastAsia="zh-CN" w:bidi="ar-SA"/>
              </w:rPr>
            </w:pPr>
            <w:r>
              <w:rPr>
                <w:rFonts w:hint="eastAsia" w:ascii="宋体" w:hAnsi="宋体"/>
                <w:color w:val="auto"/>
                <w:sz w:val="24"/>
                <w:szCs w:val="24"/>
                <w:highlight w:val="none"/>
                <w:lang w:val="en-US" w:eastAsia="zh-CN"/>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1</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勘察及对接</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宋体" w:hAnsi="宋体"/>
                <w:color w:val="auto"/>
                <w:sz w:val="24"/>
                <w:szCs w:val="24"/>
                <w:highlight w:val="none"/>
                <w:lang w:val="zh-CN" w:eastAsia="zh-CN"/>
              </w:rPr>
              <w:t>请各供应商联系采购单位自行勘踏，采购人免费提供项目实施过程中各项对接协调服务。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5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12</w:t>
            </w:r>
          </w:p>
        </w:tc>
        <w:tc>
          <w:tcPr>
            <w:tcW w:w="1502" w:type="dxa"/>
            <w:vAlign w:val="center"/>
          </w:tcPr>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提问与回复</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新宋体" w:hAnsi="新宋体" w:eastAsia="新宋体" w:cs="新宋体"/>
                <w:bCs/>
                <w:color w:val="auto"/>
                <w:kern w:val="2"/>
                <w:sz w:val="24"/>
                <w:szCs w:val="24"/>
                <w:highlight w:val="none"/>
              </w:rPr>
              <w:t>供应商若对采购文件有关内容存在理解障碍，或认为采购文件表述有模糊不清之处，可通过</w:t>
            </w:r>
            <w:r>
              <w:rPr>
                <w:rFonts w:hint="eastAsia" w:ascii="新宋体" w:hAnsi="新宋体" w:eastAsia="新宋体" w:cs="新宋体"/>
                <w:bCs/>
                <w:color w:val="auto"/>
                <w:kern w:val="2"/>
                <w:sz w:val="24"/>
                <w:szCs w:val="24"/>
                <w:highlight w:val="none"/>
                <w:lang w:val="en-US"/>
              </w:rPr>
              <w:t>电子邮箱（</w:t>
            </w:r>
            <w:r>
              <w:rPr>
                <w:rFonts w:hint="eastAsia" w:ascii="新宋体" w:hAnsi="新宋体" w:eastAsia="新宋体" w:cs="新宋体"/>
                <w:color w:val="auto"/>
                <w:sz w:val="24"/>
                <w:szCs w:val="24"/>
                <w:highlight w:val="none"/>
              </w:rPr>
              <w:t>递交至</w:t>
            </w:r>
            <w:r>
              <w:rPr>
                <w:rFonts w:hint="eastAsia" w:ascii="宋体" w:hAnsi="宋体" w:cs="宋体"/>
                <w:color w:val="auto"/>
                <w:sz w:val="24"/>
                <w:szCs w:val="24"/>
                <w:highlight w:val="none"/>
                <w:lang w:eastAsia="zh-CN"/>
              </w:rPr>
              <w:t>278329470</w:t>
            </w:r>
            <w:r>
              <w:rPr>
                <w:rFonts w:hint="eastAsia" w:ascii="新宋体" w:hAnsi="新宋体" w:eastAsia="新宋体" w:cs="新宋体"/>
                <w:color w:val="auto"/>
                <w:sz w:val="24"/>
                <w:szCs w:val="24"/>
                <w:highlight w:val="none"/>
              </w:rPr>
              <w:t>@qq.com</w:t>
            </w:r>
            <w:r>
              <w:rPr>
                <w:rFonts w:hint="eastAsia" w:ascii="新宋体" w:hAnsi="新宋体" w:eastAsia="新宋体" w:cs="新宋体"/>
                <w:bCs/>
                <w:color w:val="auto"/>
                <w:kern w:val="2"/>
                <w:sz w:val="24"/>
                <w:szCs w:val="24"/>
                <w:highlight w:val="none"/>
                <w:lang w:val="en-US"/>
              </w:rPr>
              <w:t>）</w:t>
            </w:r>
            <w:r>
              <w:rPr>
                <w:rFonts w:hint="eastAsia" w:ascii="新宋体" w:hAnsi="新宋体" w:eastAsia="新宋体" w:cs="新宋体"/>
                <w:bCs/>
                <w:color w:val="auto"/>
                <w:kern w:val="2"/>
                <w:sz w:val="24"/>
                <w:szCs w:val="24"/>
                <w:highlight w:val="none"/>
              </w:rPr>
              <w:t>提出，采购人（采购代理机构）收到供应商提问后将及时通过</w:t>
            </w:r>
            <w:r>
              <w:rPr>
                <w:rFonts w:hint="eastAsia" w:ascii="新宋体" w:hAnsi="新宋体" w:eastAsia="新宋体" w:cs="新宋体"/>
                <w:bCs/>
                <w:color w:val="auto"/>
                <w:kern w:val="2"/>
                <w:sz w:val="24"/>
                <w:szCs w:val="24"/>
                <w:highlight w:val="none"/>
                <w:lang w:val="en-US"/>
              </w:rPr>
              <w:t>邮箱</w:t>
            </w:r>
            <w:r>
              <w:rPr>
                <w:rFonts w:hint="eastAsia" w:ascii="新宋体" w:hAnsi="新宋体" w:eastAsia="新宋体" w:cs="新宋体"/>
                <w:bCs/>
                <w:color w:val="auto"/>
                <w:kern w:val="2"/>
                <w:sz w:val="24"/>
                <w:szCs w:val="24"/>
                <w:highlight w:val="none"/>
              </w:rPr>
              <w:t>回复。供应商提问（</w:t>
            </w:r>
            <w:r>
              <w:rPr>
                <w:rFonts w:hint="eastAsia" w:ascii="新宋体" w:hAnsi="新宋体" w:eastAsia="新宋体" w:cs="新宋体"/>
                <w:bCs/>
                <w:color w:val="auto"/>
                <w:kern w:val="2"/>
                <w:sz w:val="24"/>
                <w:szCs w:val="24"/>
                <w:highlight w:val="none"/>
                <w:lang w:val="en-US"/>
              </w:rPr>
              <w:t>非质疑的一般性问题</w:t>
            </w:r>
            <w:r>
              <w:rPr>
                <w:rFonts w:hint="eastAsia" w:ascii="新宋体" w:hAnsi="新宋体" w:eastAsia="新宋体" w:cs="新宋体"/>
                <w:bCs/>
                <w:color w:val="auto"/>
                <w:kern w:val="2"/>
                <w:sz w:val="24"/>
                <w:szCs w:val="24"/>
                <w:highlight w:val="none"/>
              </w:rPr>
              <w:t>）时应当隐藏自身信息，直接提出针对项目的相关疑问即可。提交成功后请供应商及时通过</w:t>
            </w:r>
            <w:r>
              <w:rPr>
                <w:rFonts w:hint="eastAsia" w:ascii="新宋体" w:hAnsi="新宋体" w:eastAsia="新宋体" w:cs="新宋体"/>
                <w:bCs/>
                <w:color w:val="auto"/>
                <w:kern w:val="2"/>
                <w:sz w:val="24"/>
                <w:szCs w:val="24"/>
                <w:highlight w:val="none"/>
                <w:lang w:val="en-US"/>
              </w:rPr>
              <w:t>发出质疑的邮箱</w:t>
            </w:r>
            <w:r>
              <w:rPr>
                <w:rFonts w:hint="eastAsia" w:ascii="新宋体" w:hAnsi="新宋体" w:eastAsia="新宋体" w:cs="新宋体"/>
                <w:bCs/>
                <w:color w:val="auto"/>
                <w:kern w:val="2"/>
                <w:sz w:val="24"/>
                <w:szCs w:val="24"/>
                <w:highlight w:val="none"/>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019"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13</w:t>
            </w:r>
          </w:p>
        </w:tc>
        <w:tc>
          <w:tcPr>
            <w:tcW w:w="1502" w:type="dxa"/>
            <w:vAlign w:val="center"/>
          </w:tcPr>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质疑与答疑</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1、</w:t>
            </w:r>
            <w:r>
              <w:rPr>
                <w:rFonts w:hint="eastAsia" w:ascii="新宋体" w:hAnsi="新宋体" w:eastAsia="新宋体" w:cs="新宋体"/>
                <w:b/>
                <w:color w:val="auto"/>
                <w:kern w:val="2"/>
                <w:sz w:val="24"/>
                <w:szCs w:val="24"/>
                <w:highlight w:val="none"/>
              </w:rPr>
              <w:t>质疑提出</w:t>
            </w:r>
            <w:r>
              <w:rPr>
                <w:rFonts w:hint="eastAsia" w:ascii="新宋体" w:hAnsi="新宋体" w:eastAsia="新宋体" w:cs="新宋体"/>
                <w:b/>
                <w:color w:val="auto"/>
                <w:kern w:val="2"/>
                <w:sz w:val="24"/>
                <w:szCs w:val="24"/>
                <w:highlight w:val="none"/>
                <w:lang w:val="en-US"/>
              </w:rPr>
              <w:t>具体步骤</w:t>
            </w:r>
            <w:r>
              <w:rPr>
                <w:rFonts w:hint="eastAsia" w:ascii="新宋体" w:hAnsi="新宋体" w:eastAsia="新宋体" w:cs="新宋体"/>
                <w:b/>
                <w:color w:val="auto"/>
                <w:kern w:val="2"/>
                <w:sz w:val="24"/>
                <w:szCs w:val="24"/>
                <w:highlight w:val="none"/>
              </w:rPr>
              <w:t>：</w:t>
            </w:r>
            <w:r>
              <w:rPr>
                <w:rFonts w:hint="eastAsia" w:ascii="新宋体" w:hAnsi="新宋体" w:eastAsia="新宋体" w:cs="新宋体"/>
                <w:bCs/>
                <w:color w:val="auto"/>
                <w:kern w:val="2"/>
                <w:sz w:val="24"/>
                <w:szCs w:val="24"/>
                <w:highlight w:val="none"/>
              </w:rPr>
              <w:t>供应商若对采购文件有关内容存在质疑，可通过</w:t>
            </w:r>
            <w:r>
              <w:rPr>
                <w:rFonts w:hint="eastAsia" w:ascii="新宋体" w:hAnsi="新宋体" w:eastAsia="新宋体" w:cs="新宋体"/>
                <w:bCs/>
                <w:color w:val="auto"/>
                <w:kern w:val="2"/>
                <w:sz w:val="24"/>
                <w:szCs w:val="24"/>
                <w:highlight w:val="none"/>
                <w:lang w:val="en-US"/>
              </w:rPr>
              <w:t>电子邮箱（</w:t>
            </w:r>
            <w:r>
              <w:rPr>
                <w:rFonts w:hint="eastAsia" w:ascii="新宋体" w:hAnsi="新宋体" w:eastAsia="新宋体" w:cs="新宋体"/>
                <w:color w:val="auto"/>
                <w:sz w:val="24"/>
                <w:szCs w:val="24"/>
                <w:highlight w:val="none"/>
              </w:rPr>
              <w:t>递交至邮箱</w:t>
            </w:r>
            <w:r>
              <w:rPr>
                <w:rFonts w:hint="eastAsia" w:ascii="宋体" w:hAnsi="宋体" w:cs="宋体"/>
                <w:color w:val="auto"/>
                <w:sz w:val="24"/>
                <w:szCs w:val="24"/>
                <w:highlight w:val="none"/>
                <w:lang w:eastAsia="zh-CN"/>
              </w:rPr>
              <w:t>278329470</w:t>
            </w:r>
            <w:r>
              <w:rPr>
                <w:rFonts w:hint="eastAsia" w:ascii="新宋体" w:hAnsi="新宋体" w:eastAsia="新宋体" w:cs="新宋体"/>
                <w:color w:val="auto"/>
                <w:sz w:val="24"/>
                <w:szCs w:val="24"/>
                <w:highlight w:val="none"/>
              </w:rPr>
              <w:t>@qq.com</w:t>
            </w:r>
            <w:r>
              <w:rPr>
                <w:rFonts w:hint="eastAsia" w:ascii="新宋体" w:hAnsi="新宋体" w:eastAsia="新宋体" w:cs="新宋体"/>
                <w:bCs/>
                <w:color w:val="auto"/>
                <w:kern w:val="2"/>
                <w:sz w:val="24"/>
                <w:szCs w:val="24"/>
                <w:highlight w:val="none"/>
                <w:lang w:val="en-US"/>
              </w:rPr>
              <w:t>）</w:t>
            </w:r>
            <w:r>
              <w:rPr>
                <w:rFonts w:hint="eastAsia" w:ascii="新宋体" w:hAnsi="新宋体" w:eastAsia="新宋体" w:cs="新宋体"/>
                <w:bCs/>
                <w:color w:val="auto"/>
                <w:kern w:val="2"/>
                <w:sz w:val="24"/>
                <w:szCs w:val="24"/>
                <w:highlight w:val="none"/>
              </w:rPr>
              <w:t>向采购人（采购代理机构）提出。</w:t>
            </w:r>
            <w:r>
              <w:rPr>
                <w:rFonts w:hint="eastAsia" w:ascii="宋体" w:hAnsi="宋体"/>
                <w:color w:val="auto"/>
                <w:sz w:val="24"/>
                <w:szCs w:val="24"/>
                <w:highlight w:val="none"/>
                <w:lang w:val="en-US" w:eastAsia="zh-CN"/>
              </w:rPr>
              <w:t xml:space="preserve">质疑文件须按《政府采购质疑和投诉办 法》（财政部令第 94 号）规定的要求制作《质疑函》范本，质疑文件不可匿名，须以附件形式加盖质疑人公章后提交。 </w:t>
            </w:r>
          </w:p>
          <w:p>
            <w:pPr>
              <w:spacing w:line="440" w:lineRule="exact"/>
              <w:jc w:val="left"/>
              <w:rPr>
                <w:rFonts w:hint="eastAsia" w:ascii="宋体" w:hAnsi="宋体"/>
                <w:color w:val="auto"/>
                <w:sz w:val="24"/>
                <w:szCs w:val="24"/>
                <w:highlight w:val="none"/>
                <w:lang w:val="zh-CN" w:eastAsia="zh-CN"/>
              </w:rPr>
            </w:pPr>
            <w:r>
              <w:rPr>
                <w:rFonts w:hint="eastAsia" w:ascii="宋体" w:hAnsi="宋体"/>
                <w:color w:val="auto"/>
                <w:sz w:val="24"/>
                <w:szCs w:val="24"/>
                <w:highlight w:val="none"/>
                <w:lang w:val="en-US" w:eastAsia="zh-CN"/>
              </w:rPr>
              <w:t>2、请各潜在供应商在响应截止时间前，务必登录</w:t>
            </w:r>
            <w:r>
              <w:rPr>
                <w:rFonts w:hint="eastAsia" w:ascii="新宋体" w:hAnsi="新宋体" w:eastAsia="新宋体" w:cs="新宋体"/>
                <w:bCs/>
                <w:color w:val="auto"/>
                <w:kern w:val="2"/>
                <w:sz w:val="24"/>
                <w:szCs w:val="24"/>
                <w:highlight w:val="none"/>
                <w:lang w:val="en-US" w:eastAsia="zh-CN"/>
              </w:rPr>
              <w:t>霍山永达工程咨询有限公司</w:t>
            </w:r>
            <w:r>
              <w:rPr>
                <w:rFonts w:hint="eastAsia" w:ascii="新宋体" w:hAnsi="新宋体" w:eastAsia="新宋体" w:cs="新宋体"/>
                <w:bCs/>
                <w:color w:val="auto"/>
                <w:kern w:val="2"/>
                <w:sz w:val="24"/>
                <w:szCs w:val="24"/>
                <w:highlight w:val="none"/>
              </w:rPr>
              <w:t>（</w:t>
            </w:r>
            <w:r>
              <w:rPr>
                <w:rFonts w:hint="eastAsia" w:ascii="新宋体" w:hAnsi="新宋体" w:eastAsia="新宋体" w:cs="新宋体"/>
                <w:bCs/>
                <w:color w:val="auto"/>
                <w:kern w:val="2"/>
                <w:sz w:val="24"/>
                <w:szCs w:val="24"/>
                <w:highlight w:val="none"/>
                <w:lang w:eastAsia="zh-CN"/>
              </w:rPr>
              <w:t>http://www.hsydgczx.com</w:t>
            </w:r>
            <w:r>
              <w:rPr>
                <w:rFonts w:hint="eastAsia" w:ascii="新宋体" w:hAnsi="新宋体" w:eastAsia="新宋体" w:cs="新宋体"/>
                <w:bCs/>
                <w:color w:val="auto"/>
                <w:kern w:val="2"/>
                <w:sz w:val="24"/>
                <w:szCs w:val="24"/>
                <w:highlight w:val="none"/>
              </w:rPr>
              <w:t>）”</w:t>
            </w:r>
            <w:r>
              <w:rPr>
                <w:rFonts w:hint="eastAsia" w:ascii="宋体" w:hAnsi="宋体"/>
                <w:color w:val="auto"/>
                <w:sz w:val="24"/>
                <w:szCs w:val="24"/>
                <w:highlight w:val="none"/>
                <w:lang w:val="en-US" w:eastAsia="zh-CN"/>
              </w:rPr>
              <w:t>，查看是否发布有关项目更正公告。更正公告为磋商文件的有效组成部分，一经发布即为视 同已通知所有潜在供应商，若因未及时关注而造成的一切后果，由供 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7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4</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响应文件份数及要求</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正本：1份 ；副本：</w:t>
            </w:r>
            <w:r>
              <w:rPr>
                <w:rFonts w:hint="eastAsia" w:ascii="新宋体" w:hAnsi="新宋体" w:eastAsia="新宋体" w:cs="新宋体"/>
                <w:color w:val="auto"/>
                <w:sz w:val="24"/>
                <w:szCs w:val="24"/>
                <w:highlight w:val="none"/>
                <w:lang w:val="en-US" w:eastAsia="zh-CN"/>
              </w:rPr>
              <w:t>2</w:t>
            </w:r>
            <w:r>
              <w:rPr>
                <w:rFonts w:hint="eastAsia" w:ascii="新宋体" w:hAnsi="新宋体" w:eastAsia="新宋体" w:cs="新宋体"/>
                <w:color w:val="auto"/>
                <w:sz w:val="24"/>
                <w:szCs w:val="24"/>
                <w:highlight w:val="none"/>
              </w:rPr>
              <w:t>份</w:t>
            </w:r>
          </w:p>
          <w:p>
            <w:pPr>
              <w:pStyle w:val="99"/>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lang w:val="en-US"/>
              </w:rPr>
            </w:pPr>
            <w:r>
              <w:rPr>
                <w:rFonts w:hint="eastAsia" w:ascii="新宋体" w:hAnsi="新宋体" w:eastAsia="新宋体" w:cs="新宋体"/>
                <w:color w:val="auto"/>
                <w:sz w:val="24"/>
                <w:szCs w:val="24"/>
                <w:highlight w:val="none"/>
                <w:lang w:val="en-US"/>
              </w:rPr>
              <w:t>要求：</w:t>
            </w:r>
          </w:p>
          <w:p>
            <w:pPr>
              <w:pStyle w:val="99"/>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rPr>
              <w:t>1、</w:t>
            </w:r>
            <w:r>
              <w:rPr>
                <w:rFonts w:hint="eastAsia" w:ascii="新宋体" w:hAnsi="新宋体" w:eastAsia="新宋体" w:cs="新宋体"/>
                <w:color w:val="auto"/>
                <w:sz w:val="24"/>
                <w:szCs w:val="24"/>
                <w:highlight w:val="none"/>
              </w:rPr>
              <w:t>响应文件正本/副本需要分别装订。</w:t>
            </w:r>
          </w:p>
          <w:p>
            <w:pPr>
              <w:pStyle w:val="99"/>
              <w:numPr>
                <w:ilvl w:val="0"/>
                <w:numId w:val="3"/>
              </w:numPr>
              <w:pBdr>
                <w:bottom w:val="none" w:color="auto" w:sz="0" w:space="0"/>
              </w:pBdr>
              <w:tabs>
                <w:tab w:val="clear" w:pos="4153"/>
                <w:tab w:val="clear" w:pos="8306"/>
              </w:tabs>
              <w:adjustRightInd/>
              <w:spacing w:line="440" w:lineRule="exact"/>
              <w:jc w:val="left"/>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如果响应文件没有按规定</w:t>
            </w:r>
            <w:r>
              <w:rPr>
                <w:rFonts w:hint="eastAsia" w:ascii="新宋体" w:hAnsi="新宋体" w:eastAsia="新宋体" w:cs="新宋体"/>
                <w:color w:val="auto"/>
                <w:sz w:val="24"/>
                <w:szCs w:val="24"/>
                <w:highlight w:val="none"/>
                <w:lang w:val="en-US" w:eastAsia="zh-CN"/>
              </w:rPr>
              <w:t>胶装</w:t>
            </w:r>
            <w:r>
              <w:rPr>
                <w:rFonts w:hint="eastAsia" w:ascii="新宋体" w:hAnsi="新宋体" w:eastAsia="新宋体" w:cs="新宋体"/>
                <w:color w:val="auto"/>
                <w:sz w:val="24"/>
                <w:szCs w:val="24"/>
                <w:highlight w:val="none"/>
              </w:rPr>
              <w:t>装订、分装、标记和密封，采购人和代理机构不承担提前开封的责任。</w:t>
            </w:r>
          </w:p>
          <w:p>
            <w:pPr>
              <w:spacing w:line="440" w:lineRule="exact"/>
              <w:jc w:val="left"/>
              <w:rPr>
                <w:rFonts w:hint="eastAsia" w:ascii="宋体" w:hAnsi="宋体"/>
                <w:color w:val="auto"/>
                <w:sz w:val="24"/>
                <w:szCs w:val="24"/>
                <w:highlight w:val="none"/>
                <w:lang w:val="en-US" w:eastAsia="zh-CN"/>
              </w:rPr>
            </w:pPr>
            <w:r>
              <w:rPr>
                <w:rFonts w:hint="eastAsia" w:ascii="新宋体" w:hAnsi="新宋体" w:eastAsia="新宋体" w:cs="新宋体"/>
                <w:color w:val="auto"/>
                <w:sz w:val="24"/>
                <w:szCs w:val="24"/>
                <w:highlight w:val="none"/>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5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15</w:t>
            </w:r>
          </w:p>
        </w:tc>
        <w:tc>
          <w:tcPr>
            <w:tcW w:w="1502" w:type="dxa"/>
            <w:vAlign w:val="center"/>
          </w:tcPr>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 xml:space="preserve">递交响应文 </w:t>
            </w:r>
          </w:p>
          <w:p>
            <w:pPr>
              <w:keepNext w:val="0"/>
              <w:keepLines w:val="0"/>
              <w:widowControl/>
              <w:suppressLineNumbers w:val="0"/>
              <w:jc w:val="left"/>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件注意事项</w:t>
            </w:r>
          </w:p>
        </w:tc>
        <w:tc>
          <w:tcPr>
            <w:tcW w:w="7430" w:type="dxa"/>
            <w:vAlign w:val="center"/>
          </w:tcPr>
          <w:p>
            <w:pPr>
              <w:spacing w:line="440" w:lineRule="exact"/>
              <w:jc w:val="left"/>
              <w:rPr>
                <w:rFonts w:hint="eastAsia" w:ascii="宋体" w:hAnsi="宋体"/>
                <w:color w:val="auto"/>
                <w:sz w:val="24"/>
                <w:szCs w:val="24"/>
                <w:highlight w:val="none"/>
                <w:lang w:val="zh-CN" w:eastAsia="zh-CN"/>
              </w:rPr>
            </w:pPr>
            <w:r>
              <w:rPr>
                <w:rFonts w:hint="eastAsia" w:ascii="新宋体" w:hAnsi="新宋体" w:eastAsia="新宋体" w:cs="新宋体"/>
                <w:bCs/>
                <w:color w:val="auto"/>
                <w:sz w:val="24"/>
                <w:szCs w:val="24"/>
                <w:highlight w:val="none"/>
              </w:rPr>
              <w:t>响应</w:t>
            </w:r>
            <w:r>
              <w:rPr>
                <w:rFonts w:hint="eastAsia" w:ascii="新宋体" w:hAnsi="新宋体" w:eastAsia="新宋体" w:cs="新宋体"/>
                <w:bCs/>
                <w:color w:val="auto"/>
                <w:kern w:val="2"/>
                <w:sz w:val="24"/>
                <w:szCs w:val="24"/>
                <w:highlight w:val="none"/>
              </w:rPr>
              <w:t>文件必须在响应截止时间前</w:t>
            </w:r>
            <w:r>
              <w:rPr>
                <w:rFonts w:hint="eastAsia" w:ascii="新宋体" w:hAnsi="新宋体" w:eastAsia="新宋体" w:cs="新宋体"/>
                <w:color w:val="auto"/>
                <w:kern w:val="2"/>
                <w:sz w:val="24"/>
                <w:szCs w:val="24"/>
                <w:highlight w:val="none"/>
                <w:lang w:val="en-US"/>
              </w:rPr>
              <w:t>现场</w:t>
            </w:r>
            <w:r>
              <w:rPr>
                <w:rFonts w:hint="eastAsia" w:ascii="新宋体" w:hAnsi="新宋体" w:eastAsia="新宋体" w:cs="新宋体"/>
                <w:color w:val="auto"/>
                <w:kern w:val="2"/>
                <w:sz w:val="24"/>
                <w:szCs w:val="24"/>
                <w:highlight w:val="none"/>
              </w:rPr>
              <w:t>递交</w:t>
            </w:r>
            <w:r>
              <w:rPr>
                <w:rFonts w:hint="eastAsia" w:ascii="新宋体" w:hAnsi="新宋体" w:eastAsia="新宋体" w:cs="新宋体"/>
                <w:bCs/>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b/>
                <w:color w:val="auto"/>
                <w:kern w:val="2"/>
                <w:szCs w:val="24"/>
                <w:highlight w:val="none"/>
                <w:lang w:val="en-US" w:eastAsia="zh-CN"/>
              </w:rPr>
            </w:pPr>
            <w:r>
              <w:rPr>
                <w:rFonts w:hint="eastAsia" w:ascii="宋体" w:hAnsi="宋体"/>
                <w:b/>
                <w:color w:val="auto"/>
                <w:kern w:val="2"/>
                <w:szCs w:val="24"/>
                <w:highlight w:val="none"/>
                <w:lang w:val="en-US" w:eastAsia="zh-CN"/>
              </w:rPr>
              <w:t>16</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宋体"/>
                <w:bCs/>
                <w:color w:val="auto"/>
                <w:kern w:val="2"/>
                <w:sz w:val="24"/>
                <w:szCs w:val="24"/>
                <w:highlight w:val="none"/>
                <w:lang w:val="zh-CN" w:eastAsia="zh-CN" w:bidi="ar-SA"/>
              </w:rPr>
            </w:pPr>
            <w:r>
              <w:rPr>
                <w:rFonts w:hint="eastAsia" w:ascii="新宋体" w:hAnsi="新宋体" w:eastAsia="新宋体" w:cs="新宋体"/>
                <w:color w:val="auto"/>
                <w:sz w:val="24"/>
                <w:szCs w:val="24"/>
                <w:highlight w:val="none"/>
              </w:rPr>
              <w:t>封套上应载明的信息</w:t>
            </w:r>
          </w:p>
        </w:tc>
        <w:tc>
          <w:tcPr>
            <w:tcW w:w="7430" w:type="dxa"/>
            <w:vAlign w:val="center"/>
          </w:tcPr>
          <w:p>
            <w:pPr>
              <w:spacing w:line="560" w:lineRule="exact"/>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shd w:val="clear" w:color="auto" w:fill="FFFFFF"/>
                <w:lang w:bidi="ar"/>
              </w:rPr>
              <w:t xml:space="preserve"> </w:t>
            </w:r>
            <w:r>
              <w:rPr>
                <w:rFonts w:hint="eastAsia" w:ascii="新宋体" w:hAnsi="新宋体" w:eastAsia="新宋体" w:cs="新宋体"/>
                <w:color w:val="auto"/>
                <w:sz w:val="24"/>
                <w:szCs w:val="24"/>
                <w:highlight w:val="none"/>
                <w:u w:val="single"/>
                <w:shd w:val="clear" w:color="auto" w:fill="FFFFFF"/>
                <w:lang w:bidi="ar"/>
              </w:rPr>
              <w:t xml:space="preserve">                  </w:t>
            </w:r>
            <w:r>
              <w:rPr>
                <w:rFonts w:hint="eastAsia" w:ascii="新宋体" w:hAnsi="新宋体" w:eastAsia="新宋体" w:cs="新宋体"/>
                <w:color w:val="auto"/>
                <w:sz w:val="24"/>
                <w:szCs w:val="24"/>
                <w:highlight w:val="none"/>
                <w:shd w:val="clear" w:color="auto" w:fill="FFFFFF"/>
                <w:lang w:bidi="ar"/>
              </w:rPr>
              <w:t>项目响应</w:t>
            </w:r>
            <w:r>
              <w:rPr>
                <w:rFonts w:hint="eastAsia" w:ascii="新宋体" w:hAnsi="新宋体" w:eastAsia="新宋体" w:cs="新宋体"/>
                <w:color w:val="auto"/>
                <w:sz w:val="24"/>
                <w:szCs w:val="24"/>
                <w:highlight w:val="none"/>
              </w:rPr>
              <w:t>文件</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rPr>
              <w:t xml:space="preserve"> </w:t>
            </w:r>
          </w:p>
          <w:p>
            <w:pPr>
              <w:pStyle w:val="107"/>
              <w:spacing w:line="480" w:lineRule="exact"/>
              <w:ind w:right="1178" w:firstLine="240" w:firstLineChars="100"/>
              <w:rPr>
                <w:rFonts w:hint="eastAsia" w:ascii="新宋体" w:hAnsi="新宋体" w:eastAsia="新宋体" w:cs="新宋体"/>
                <w:color w:val="auto"/>
                <w:kern w:val="2"/>
                <w:sz w:val="24"/>
                <w:szCs w:val="24"/>
                <w:highlight w:val="none"/>
                <w:u w:val="single"/>
                <w:lang w:eastAsia="zh-CN"/>
              </w:rPr>
            </w:pPr>
            <w:r>
              <w:rPr>
                <w:rFonts w:hint="eastAsia" w:ascii="新宋体" w:hAnsi="新宋体" w:eastAsia="新宋体" w:cs="新宋体"/>
                <w:color w:val="auto"/>
                <w:kern w:val="2"/>
                <w:sz w:val="24"/>
                <w:szCs w:val="24"/>
                <w:highlight w:val="none"/>
                <w:lang w:eastAsia="zh-CN"/>
              </w:rPr>
              <w:t xml:space="preserve">项目编号：               </w:t>
            </w:r>
            <w:r>
              <w:rPr>
                <w:rFonts w:hint="eastAsia" w:ascii="新宋体" w:hAnsi="新宋体" w:eastAsia="新宋体" w:cs="新宋体"/>
                <w:color w:val="auto"/>
                <w:kern w:val="2"/>
                <w:sz w:val="24"/>
                <w:szCs w:val="24"/>
                <w:highlight w:val="none"/>
                <w:u w:val="single"/>
                <w:lang w:eastAsia="zh-CN"/>
              </w:rPr>
              <w:t xml:space="preserve">          </w:t>
            </w:r>
            <w:r>
              <w:rPr>
                <w:rFonts w:hint="eastAsia" w:ascii="新宋体" w:hAnsi="新宋体" w:eastAsia="新宋体" w:cs="新宋体"/>
                <w:color w:val="auto"/>
                <w:kern w:val="2"/>
                <w:sz w:val="24"/>
                <w:szCs w:val="24"/>
                <w:highlight w:val="none"/>
                <w:lang w:eastAsia="zh-CN"/>
              </w:rPr>
              <w:t xml:space="preserve">           </w:t>
            </w:r>
          </w:p>
          <w:p>
            <w:pPr>
              <w:spacing w:line="480" w:lineRule="exact"/>
              <w:ind w:firstLine="240" w:firstLineChars="100"/>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在</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月</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日</w:t>
            </w:r>
            <w:r>
              <w:rPr>
                <w:rFonts w:hint="eastAsia" w:ascii="新宋体" w:hAnsi="新宋体" w:eastAsia="新宋体" w:cs="新宋体"/>
                <w:color w:val="auto"/>
                <w:sz w:val="24"/>
                <w:szCs w:val="24"/>
                <w:highlight w:val="none"/>
              </w:rPr>
              <w:tab/>
            </w:r>
            <w:r>
              <w:rPr>
                <w:rFonts w:hint="eastAsia" w:ascii="新宋体" w:hAnsi="新宋体" w:eastAsia="新宋体" w:cs="新宋体"/>
                <w:color w:val="auto"/>
                <w:sz w:val="24"/>
                <w:szCs w:val="24"/>
                <w:highlight w:val="none"/>
              </w:rPr>
              <w:t>时前不得开启</w:t>
            </w:r>
          </w:p>
          <w:p>
            <w:pPr>
              <w:pStyle w:val="107"/>
              <w:spacing w:line="480" w:lineRule="exact"/>
              <w:ind w:right="2858"/>
              <w:rPr>
                <w:rFonts w:hint="eastAsia" w:ascii="新宋体" w:hAnsi="新宋体" w:eastAsia="新宋体" w:cs="新宋体"/>
                <w:color w:val="auto"/>
                <w:kern w:val="2"/>
                <w:sz w:val="24"/>
                <w:szCs w:val="24"/>
                <w:highlight w:val="none"/>
                <w:u w:val="single"/>
                <w:lang w:eastAsia="zh-CN"/>
              </w:rPr>
            </w:pPr>
            <w:r>
              <w:rPr>
                <w:rFonts w:hint="eastAsia" w:ascii="新宋体" w:hAnsi="新宋体" w:eastAsia="新宋体" w:cs="新宋体"/>
                <w:color w:val="auto"/>
                <w:kern w:val="2"/>
                <w:sz w:val="24"/>
                <w:szCs w:val="24"/>
                <w:highlight w:val="none"/>
                <w:lang w:eastAsia="zh-CN"/>
              </w:rPr>
              <w:t>供应商名称：</w:t>
            </w:r>
            <w:r>
              <w:rPr>
                <w:rFonts w:hint="eastAsia" w:ascii="新宋体" w:hAnsi="新宋体" w:eastAsia="新宋体" w:cs="新宋体"/>
                <w:color w:val="auto"/>
                <w:kern w:val="2"/>
                <w:sz w:val="24"/>
                <w:szCs w:val="24"/>
                <w:highlight w:val="none"/>
                <w:u w:val="single"/>
                <w:lang w:eastAsia="zh-CN"/>
              </w:rPr>
              <w:t xml:space="preserve">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color w:val="auto"/>
                <w:sz w:val="24"/>
                <w:szCs w:val="24"/>
                <w:highlight w:val="none"/>
                <w:lang w:val="zh-CN" w:eastAsia="zh-CN"/>
              </w:rPr>
            </w:pPr>
            <w:r>
              <w:rPr>
                <w:rFonts w:hint="eastAsia" w:ascii="新宋体" w:hAnsi="新宋体" w:eastAsia="新宋体" w:cs="新宋体"/>
                <w:color w:val="auto"/>
                <w:kern w:val="2"/>
                <w:sz w:val="24"/>
                <w:szCs w:val="24"/>
                <w:highlight w:val="none"/>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7</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备注一</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1、存在以下不良信用记录情形之一的，不得推荐为成交候选供应商,评审时磋商小组应当按照下列第3条不良信用记录查询渠道对供应商是否存在不良信用记录进行查询：</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（1）供应商被人民法院列入失信被执行人的；</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（2）供应商被市场监督管理部门列入</w:t>
            </w:r>
            <w:r>
              <w:rPr>
                <w:rFonts w:hint="eastAsia" w:ascii="宋体" w:hAnsi="宋体"/>
                <w:bCs/>
                <w:color w:val="auto"/>
                <w:kern w:val="2"/>
                <w:szCs w:val="24"/>
                <w:highlight w:val="none"/>
                <w:lang w:eastAsia="zh-CN"/>
              </w:rPr>
              <w:t>严重违法失信企业</w:t>
            </w:r>
            <w:r>
              <w:rPr>
                <w:rFonts w:hint="eastAsia" w:ascii="宋体" w:hAnsi="宋体"/>
                <w:bCs/>
                <w:color w:val="auto"/>
                <w:kern w:val="2"/>
                <w:szCs w:val="24"/>
                <w:highlight w:val="none"/>
              </w:rPr>
              <w:t>名录的；</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（3）供应商被税务部门列入重大税收违法案件当事人名单的；</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（4）供应商被政府采购监管部门列入政府采购严重违法失信行为记录名单的。</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lang w:val="en-US" w:eastAsia="zh-CN"/>
              </w:rPr>
              <w:t xml:space="preserve">2、联合体供应商，联合体任何一方存在上述不良信用记录的，视同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rPr>
            </w:pPr>
            <w:r>
              <w:rPr>
                <w:rFonts w:hint="eastAsia" w:ascii="宋体" w:hAnsi="宋体"/>
                <w:bCs/>
                <w:color w:val="auto"/>
                <w:kern w:val="2"/>
                <w:szCs w:val="24"/>
                <w:highlight w:val="none"/>
                <w:lang w:val="en-US" w:eastAsia="zh-CN"/>
              </w:rPr>
              <w:t>联合体存在不良信用记录。</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lang w:val="en-US" w:eastAsia="zh-CN"/>
              </w:rPr>
              <w:t>3</w:t>
            </w:r>
            <w:r>
              <w:rPr>
                <w:rFonts w:hint="eastAsia" w:ascii="宋体" w:hAnsi="宋体"/>
                <w:bCs/>
                <w:color w:val="auto"/>
                <w:kern w:val="2"/>
                <w:szCs w:val="24"/>
                <w:highlight w:val="none"/>
              </w:rPr>
              <w:t>、不良信用记录查询渠道如下：</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（1）失信被执行人：信用中国官网（www.creditchina.gov.cn）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（2）</w:t>
            </w:r>
            <w:r>
              <w:rPr>
                <w:rFonts w:hint="eastAsia" w:ascii="宋体" w:hAnsi="宋体"/>
                <w:bCs/>
                <w:color w:val="auto"/>
                <w:kern w:val="2"/>
                <w:szCs w:val="24"/>
                <w:highlight w:val="none"/>
                <w:lang w:eastAsia="zh-CN"/>
              </w:rPr>
              <w:t>严重违法失信企业</w:t>
            </w:r>
            <w:r>
              <w:rPr>
                <w:rFonts w:hint="eastAsia" w:ascii="宋体" w:hAnsi="宋体"/>
                <w:bCs/>
                <w:color w:val="auto"/>
                <w:kern w:val="2"/>
                <w:szCs w:val="24"/>
                <w:highlight w:val="none"/>
              </w:rPr>
              <w:t>名录：信用中国官网（www.creditchina.gov.cn）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（3）重大税收违法案件当事人名单：信用中国官网（www.creditchina.gov.cn）</w:t>
            </w:r>
          </w:p>
          <w:p>
            <w:pPr>
              <w:pStyle w:val="99"/>
              <w:pBdr>
                <w:bottom w:val="none" w:color="auto" w:sz="0" w:space="0"/>
              </w:pBdr>
              <w:tabs>
                <w:tab w:val="clear" w:pos="4153"/>
                <w:tab w:val="clear" w:pos="8306"/>
              </w:tabs>
              <w:adjustRightInd/>
              <w:spacing w:line="440" w:lineRule="exact"/>
              <w:jc w:val="left"/>
              <w:textAlignment w:val="auto"/>
              <w:rPr>
                <w:rFonts w:ascii="宋体" w:hAnsi="宋体"/>
                <w:bCs/>
                <w:color w:val="auto"/>
                <w:kern w:val="2"/>
                <w:szCs w:val="24"/>
                <w:highlight w:val="none"/>
              </w:rPr>
            </w:pPr>
            <w:r>
              <w:rPr>
                <w:rFonts w:hint="eastAsia" w:ascii="宋体" w:hAnsi="宋体"/>
                <w:bCs/>
                <w:color w:val="auto"/>
                <w:kern w:val="2"/>
                <w:szCs w:val="24"/>
                <w:highlight w:val="none"/>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07"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b/>
                <w:color w:val="auto"/>
                <w:kern w:val="2"/>
                <w:szCs w:val="24"/>
                <w:highlight w:val="none"/>
                <w:lang w:val="en-US" w:eastAsia="zh-CN"/>
              </w:rPr>
            </w:pPr>
            <w:r>
              <w:rPr>
                <w:rFonts w:hint="eastAsia" w:ascii="宋体" w:hAnsi="宋体"/>
                <w:b/>
                <w:color w:val="auto"/>
                <w:kern w:val="2"/>
                <w:szCs w:val="24"/>
                <w:highlight w:val="none"/>
              </w:rPr>
              <w:t>1</w:t>
            </w:r>
            <w:r>
              <w:rPr>
                <w:rFonts w:hint="eastAsia" w:ascii="宋体" w:hAnsi="宋体"/>
                <w:b/>
                <w:color w:val="auto"/>
                <w:kern w:val="2"/>
                <w:szCs w:val="24"/>
                <w:highlight w:val="none"/>
                <w:lang w:val="en-US" w:eastAsia="zh-CN"/>
              </w:rPr>
              <w:t>8</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ascii="宋体" w:hAnsi="宋体"/>
                <w:bCs/>
                <w:color w:val="auto"/>
                <w:kern w:val="2"/>
                <w:szCs w:val="24"/>
                <w:highlight w:val="none"/>
              </w:rPr>
            </w:pPr>
            <w:r>
              <w:rPr>
                <w:rFonts w:hint="eastAsia" w:ascii="宋体" w:hAnsi="宋体"/>
                <w:bCs/>
                <w:color w:val="auto"/>
                <w:kern w:val="2"/>
                <w:szCs w:val="24"/>
                <w:highlight w:val="none"/>
              </w:rPr>
              <w:t>备注二</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561"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19</w:t>
            </w:r>
          </w:p>
        </w:tc>
        <w:tc>
          <w:tcPr>
            <w:tcW w:w="1502" w:type="dxa"/>
            <w:vAlign w:val="center"/>
          </w:tcPr>
          <w:p>
            <w:pPr>
              <w:keepNext w:val="0"/>
              <w:keepLines w:val="0"/>
              <w:widowControl/>
              <w:suppressLineNumbers w:val="0"/>
              <w:jc w:val="left"/>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 xml:space="preserve">关于联合体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 xml:space="preserve">投标的相关 </w:t>
            </w:r>
          </w:p>
          <w:p>
            <w:pPr>
              <w:keepNext w:val="0"/>
              <w:keepLines w:val="0"/>
              <w:widowControl/>
              <w:suppressLineNumbers w:val="0"/>
              <w:jc w:val="left"/>
              <w:rPr>
                <w:rFonts w:hint="eastAsia" w:ascii="宋体" w:hAnsi="宋体" w:eastAsia="宋体" w:cs="Times New Roman"/>
                <w:b/>
                <w:bCs w:val="0"/>
                <w:color w:val="auto"/>
                <w:kern w:val="2"/>
                <w:sz w:val="24"/>
                <w:szCs w:val="24"/>
                <w:highlight w:val="none"/>
                <w:lang w:val="zh-CN" w:eastAsia="zh-CN" w:bidi="ar-SA"/>
              </w:rPr>
            </w:pPr>
            <w:r>
              <w:rPr>
                <w:rFonts w:hint="eastAsia" w:ascii="宋体" w:hAnsi="宋体" w:eastAsia="宋体" w:cs="Times New Roman"/>
                <w:bCs/>
                <w:color w:val="auto"/>
                <w:kern w:val="2"/>
                <w:sz w:val="24"/>
                <w:szCs w:val="24"/>
                <w:highlight w:val="none"/>
                <w:lang w:val="en-US" w:eastAsia="zh-CN" w:bidi="ar-SA"/>
              </w:rPr>
              <w:t>约定</w:t>
            </w:r>
            <w:r>
              <w:rPr>
                <w:rFonts w:hint="eastAsia" w:ascii="宋体" w:hAnsi="宋体" w:eastAsia="宋体" w:cs="Times New Roman"/>
                <w:b/>
                <w:bCs w:val="0"/>
                <w:color w:val="auto"/>
                <w:kern w:val="2"/>
                <w:sz w:val="24"/>
                <w:szCs w:val="24"/>
                <w:highlight w:val="none"/>
                <w:lang w:val="en-US" w:eastAsia="zh-CN" w:bidi="ar-SA"/>
              </w:rPr>
              <w:t xml:space="preserve">（本项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zh-CN" w:eastAsia="zh-CN" w:bidi="ar-SA"/>
              </w:rPr>
            </w:pPr>
            <w:r>
              <w:rPr>
                <w:rFonts w:hint="eastAsia" w:ascii="宋体" w:hAnsi="宋体" w:eastAsia="宋体" w:cs="Times New Roman"/>
                <w:b/>
                <w:bCs w:val="0"/>
                <w:color w:val="auto"/>
                <w:kern w:val="2"/>
                <w:sz w:val="24"/>
                <w:szCs w:val="24"/>
                <w:highlight w:val="none"/>
                <w:lang w:val="en-US" w:eastAsia="zh-CN" w:bidi="ar-SA"/>
              </w:rPr>
              <w:t>目不采用）</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 xml:space="preserve">联合体投标的须提供联合体协议（格式见附件）、联合体各方均须提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 xml:space="preserve">供营业执照、税务登记证（提供“三证合一”后的营业执照，税务登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 xml:space="preserve">记证不再提供），其余证明材料投标供应商根据联合体协议分工情况 </w:t>
            </w:r>
          </w:p>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zh-CN" w:eastAsia="zh-CN"/>
              </w:rPr>
            </w:pPr>
            <w:r>
              <w:rPr>
                <w:rFonts w:hint="eastAsia" w:ascii="宋体" w:hAnsi="宋体"/>
                <w:bCs/>
                <w:color w:val="auto"/>
                <w:kern w:val="2"/>
                <w:szCs w:val="24"/>
                <w:highlight w:val="none"/>
                <w:lang w:val="en-US" w:eastAsia="zh-CN"/>
              </w:rPr>
              <w:t>及采购文件要求提供。联合体各方提供的本单位证明材料需各自盖章，其他如采购文件无特殊要求的，盖主体方公章（或公章）即可。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06"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20</w:t>
            </w:r>
          </w:p>
        </w:tc>
        <w:tc>
          <w:tcPr>
            <w:tcW w:w="1502" w:type="dxa"/>
            <w:vAlign w:val="center"/>
          </w:tcPr>
          <w:p>
            <w:pPr>
              <w:pStyle w:val="99"/>
              <w:pBdr>
                <w:bottom w:val="none" w:color="auto" w:sz="0" w:space="0"/>
              </w:pBdr>
              <w:tabs>
                <w:tab w:val="clear" w:pos="4153"/>
                <w:tab w:val="clear" w:pos="8306"/>
              </w:tabs>
              <w:adjustRightInd/>
              <w:spacing w:line="440" w:lineRule="exact"/>
              <w:textAlignment w:val="auto"/>
              <w:rPr>
                <w:rFonts w:hint="eastAsia" w:ascii="宋体" w:hAnsi="宋体" w:eastAsia="宋体" w:cs="Times New Roman"/>
                <w:bCs/>
                <w:color w:val="auto"/>
                <w:kern w:val="2"/>
                <w:sz w:val="24"/>
                <w:szCs w:val="24"/>
                <w:highlight w:val="none"/>
                <w:lang w:val="en-US" w:eastAsia="zh-CN" w:bidi="ar-SA"/>
              </w:rPr>
            </w:pPr>
            <w:r>
              <w:rPr>
                <w:rFonts w:hint="eastAsia" w:ascii="新宋体" w:hAnsi="新宋体" w:eastAsia="新宋体" w:cs="新宋体"/>
                <w:bCs/>
                <w:color w:val="auto"/>
                <w:kern w:val="2"/>
                <w:sz w:val="24"/>
                <w:szCs w:val="24"/>
                <w:highlight w:val="none"/>
                <w:lang w:val="en-US" w:eastAsia="zh-CN"/>
              </w:rPr>
              <w:t>磋商</w:t>
            </w:r>
            <w:r>
              <w:rPr>
                <w:rFonts w:hint="eastAsia" w:ascii="新宋体" w:hAnsi="新宋体" w:eastAsia="新宋体" w:cs="新宋体"/>
                <w:bCs/>
                <w:color w:val="auto"/>
                <w:kern w:val="2"/>
                <w:sz w:val="24"/>
                <w:szCs w:val="24"/>
                <w:highlight w:val="none"/>
                <w:lang w:val="en-US"/>
              </w:rPr>
              <w:t>时间（</w:t>
            </w:r>
            <w:r>
              <w:rPr>
                <w:rFonts w:hint="eastAsia" w:ascii="新宋体" w:hAnsi="新宋体" w:eastAsia="新宋体" w:cs="新宋体"/>
                <w:bCs/>
                <w:color w:val="auto"/>
                <w:kern w:val="2"/>
                <w:sz w:val="24"/>
                <w:szCs w:val="24"/>
                <w:highlight w:val="none"/>
              </w:rPr>
              <w:t>响应截止时间</w:t>
            </w:r>
            <w:r>
              <w:rPr>
                <w:rFonts w:hint="eastAsia" w:ascii="新宋体" w:hAnsi="新宋体" w:eastAsia="新宋体" w:cs="新宋体"/>
                <w:bCs/>
                <w:color w:val="auto"/>
                <w:kern w:val="2"/>
                <w:sz w:val="24"/>
                <w:szCs w:val="24"/>
                <w:highlight w:val="none"/>
                <w:lang w:val="en-US"/>
              </w:rPr>
              <w:t>）及地点</w:t>
            </w:r>
          </w:p>
        </w:tc>
        <w:tc>
          <w:tcPr>
            <w:tcW w:w="7430" w:type="dxa"/>
            <w:vAlign w:val="center"/>
          </w:tcPr>
          <w:p>
            <w:pPr>
              <w:pStyle w:val="99"/>
              <w:pBdr>
                <w:bottom w:val="none" w:color="auto" w:sz="0" w:space="0"/>
              </w:pBdr>
              <w:tabs>
                <w:tab w:val="clear" w:pos="4153"/>
                <w:tab w:val="clear" w:pos="8306"/>
              </w:tabs>
              <w:adjustRightInd/>
              <w:spacing w:line="440" w:lineRule="exact"/>
              <w:jc w:val="both"/>
              <w:textAlignment w:val="auto"/>
              <w:rPr>
                <w:rFonts w:hint="eastAsia" w:ascii="新宋体" w:hAnsi="新宋体" w:eastAsia="新宋体" w:cs="新宋体"/>
                <w:bCs/>
                <w:color w:val="auto"/>
                <w:kern w:val="2"/>
                <w:sz w:val="24"/>
                <w:szCs w:val="24"/>
                <w:highlight w:val="none"/>
              </w:rPr>
            </w:pPr>
            <w:r>
              <w:rPr>
                <w:rFonts w:hint="eastAsia" w:ascii="新宋体" w:hAnsi="新宋体" w:eastAsia="新宋体" w:cs="新宋体"/>
                <w:bCs/>
                <w:color w:val="auto"/>
                <w:kern w:val="2"/>
                <w:sz w:val="24"/>
                <w:szCs w:val="24"/>
                <w:highlight w:val="none"/>
                <w:lang w:val="en-US" w:eastAsia="zh-CN"/>
              </w:rPr>
              <w:t>磋商</w:t>
            </w:r>
            <w:r>
              <w:rPr>
                <w:rFonts w:hint="eastAsia" w:ascii="新宋体" w:hAnsi="新宋体" w:eastAsia="新宋体" w:cs="新宋体"/>
                <w:bCs/>
                <w:color w:val="auto"/>
                <w:kern w:val="2"/>
                <w:sz w:val="24"/>
                <w:szCs w:val="24"/>
                <w:highlight w:val="none"/>
                <w:lang w:val="en-US"/>
              </w:rPr>
              <w:t>时间（</w:t>
            </w:r>
            <w:r>
              <w:rPr>
                <w:rFonts w:hint="eastAsia" w:ascii="新宋体" w:hAnsi="新宋体" w:eastAsia="新宋体" w:cs="新宋体"/>
                <w:bCs/>
                <w:color w:val="auto"/>
                <w:kern w:val="2"/>
                <w:sz w:val="24"/>
                <w:szCs w:val="24"/>
                <w:highlight w:val="none"/>
              </w:rPr>
              <w:t>响应截止时间</w:t>
            </w:r>
            <w:r>
              <w:rPr>
                <w:rFonts w:hint="eastAsia" w:ascii="新宋体" w:hAnsi="新宋体" w:eastAsia="新宋体" w:cs="新宋体"/>
                <w:bCs/>
                <w:color w:val="auto"/>
                <w:kern w:val="2"/>
                <w:sz w:val="24"/>
                <w:szCs w:val="24"/>
                <w:highlight w:val="none"/>
                <w:lang w:val="en-US"/>
              </w:rPr>
              <w:t>）：</w:t>
            </w:r>
            <w:r>
              <w:rPr>
                <w:rFonts w:hint="eastAsia" w:ascii="新宋体" w:hAnsi="新宋体" w:eastAsia="新宋体" w:cs="新宋体"/>
                <w:bCs/>
                <w:color w:val="auto"/>
                <w:kern w:val="2"/>
                <w:sz w:val="24"/>
                <w:szCs w:val="24"/>
                <w:highlight w:val="none"/>
                <w:lang w:eastAsia="zh-CN"/>
              </w:rPr>
              <w:t>202</w:t>
            </w:r>
            <w:r>
              <w:rPr>
                <w:rFonts w:hint="eastAsia" w:ascii="新宋体" w:hAnsi="新宋体" w:eastAsia="新宋体" w:cs="新宋体"/>
                <w:bCs/>
                <w:color w:val="auto"/>
                <w:kern w:val="2"/>
                <w:sz w:val="24"/>
                <w:szCs w:val="24"/>
                <w:highlight w:val="none"/>
                <w:lang w:val="en-US" w:eastAsia="zh-CN"/>
              </w:rPr>
              <w:t>4</w:t>
            </w:r>
            <w:r>
              <w:rPr>
                <w:rFonts w:hint="eastAsia" w:ascii="新宋体" w:hAnsi="新宋体" w:eastAsia="新宋体" w:cs="新宋体"/>
                <w:bCs/>
                <w:color w:val="auto"/>
                <w:kern w:val="2"/>
                <w:sz w:val="24"/>
                <w:szCs w:val="24"/>
                <w:highlight w:val="none"/>
                <w:lang w:eastAsia="zh-CN"/>
              </w:rPr>
              <w:t>年</w:t>
            </w:r>
            <w:r>
              <w:rPr>
                <w:rFonts w:hint="eastAsia" w:ascii="新宋体" w:hAnsi="新宋体" w:eastAsia="新宋体" w:cs="新宋体"/>
                <w:bCs/>
                <w:color w:val="auto"/>
                <w:kern w:val="2"/>
                <w:sz w:val="24"/>
                <w:szCs w:val="24"/>
                <w:highlight w:val="none"/>
                <w:lang w:val="en-US" w:eastAsia="zh-CN"/>
              </w:rPr>
              <w:t>3</w:t>
            </w:r>
            <w:r>
              <w:rPr>
                <w:rFonts w:hint="eastAsia" w:ascii="新宋体" w:hAnsi="新宋体" w:eastAsia="新宋体" w:cs="新宋体"/>
                <w:bCs/>
                <w:color w:val="auto"/>
                <w:kern w:val="2"/>
                <w:sz w:val="24"/>
                <w:szCs w:val="24"/>
                <w:highlight w:val="none"/>
              </w:rPr>
              <w:t>月</w:t>
            </w:r>
            <w:r>
              <w:rPr>
                <w:rFonts w:hint="eastAsia" w:ascii="新宋体" w:hAnsi="新宋体" w:eastAsia="新宋体" w:cs="新宋体"/>
                <w:bCs/>
                <w:color w:val="auto"/>
                <w:kern w:val="2"/>
                <w:sz w:val="24"/>
                <w:szCs w:val="24"/>
                <w:highlight w:val="none"/>
                <w:lang w:val="en-US" w:eastAsia="zh-CN"/>
              </w:rPr>
              <w:t>15</w:t>
            </w:r>
            <w:r>
              <w:rPr>
                <w:rFonts w:hint="eastAsia" w:ascii="新宋体" w:hAnsi="新宋体" w:eastAsia="新宋体" w:cs="新宋体"/>
                <w:bCs/>
                <w:color w:val="auto"/>
                <w:kern w:val="2"/>
                <w:sz w:val="24"/>
                <w:szCs w:val="24"/>
                <w:highlight w:val="none"/>
              </w:rPr>
              <w:t>日</w:t>
            </w:r>
            <w:r>
              <w:rPr>
                <w:rFonts w:hint="eastAsia" w:ascii="新宋体" w:hAnsi="新宋体" w:eastAsia="新宋体" w:cs="新宋体"/>
                <w:bCs/>
                <w:color w:val="auto"/>
                <w:kern w:val="2"/>
                <w:sz w:val="24"/>
                <w:szCs w:val="24"/>
                <w:highlight w:val="none"/>
                <w:lang w:eastAsia="zh-CN"/>
              </w:rPr>
              <w:t>上</w:t>
            </w:r>
            <w:r>
              <w:rPr>
                <w:rFonts w:hint="eastAsia" w:ascii="新宋体" w:hAnsi="新宋体" w:eastAsia="新宋体" w:cs="新宋体"/>
                <w:bCs/>
                <w:color w:val="auto"/>
                <w:kern w:val="2"/>
                <w:sz w:val="24"/>
                <w:szCs w:val="24"/>
                <w:highlight w:val="none"/>
                <w:lang w:val="en-US" w:eastAsia="zh-CN"/>
              </w:rPr>
              <w:t>午9</w:t>
            </w:r>
            <w:bookmarkStart w:id="125" w:name="_GoBack"/>
            <w:bookmarkEnd w:id="125"/>
            <w:r>
              <w:rPr>
                <w:rFonts w:hint="eastAsia" w:ascii="新宋体" w:hAnsi="新宋体" w:eastAsia="新宋体" w:cs="新宋体"/>
                <w:bCs/>
                <w:color w:val="auto"/>
                <w:kern w:val="2"/>
                <w:sz w:val="24"/>
                <w:szCs w:val="24"/>
                <w:highlight w:val="none"/>
              </w:rPr>
              <w:t>时</w:t>
            </w:r>
            <w:r>
              <w:rPr>
                <w:rFonts w:hint="eastAsia" w:ascii="新宋体" w:hAnsi="新宋体" w:eastAsia="新宋体" w:cs="新宋体"/>
                <w:bCs/>
                <w:color w:val="auto"/>
                <w:kern w:val="2"/>
                <w:sz w:val="24"/>
                <w:szCs w:val="24"/>
                <w:highlight w:val="none"/>
                <w:lang w:val="en-US" w:eastAsia="zh-CN"/>
              </w:rPr>
              <w:t>00</w:t>
            </w:r>
            <w:r>
              <w:rPr>
                <w:rFonts w:hint="eastAsia" w:ascii="新宋体" w:hAnsi="新宋体" w:eastAsia="新宋体" w:cs="新宋体"/>
                <w:bCs/>
                <w:color w:val="auto"/>
                <w:kern w:val="2"/>
                <w:sz w:val="24"/>
                <w:szCs w:val="24"/>
                <w:highlight w:val="none"/>
              </w:rPr>
              <w:t>分（北京时间）</w:t>
            </w:r>
          </w:p>
          <w:p>
            <w:pPr>
              <w:spacing w:line="520" w:lineRule="exact"/>
              <w:rPr>
                <w:rFonts w:hint="eastAsia" w:ascii="宋体" w:hAnsi="宋体"/>
                <w:bCs/>
                <w:color w:val="auto"/>
                <w:kern w:val="2"/>
                <w:szCs w:val="24"/>
                <w:highlight w:val="none"/>
                <w:lang w:val="zh-CN" w:eastAsia="zh-CN"/>
              </w:rPr>
            </w:pPr>
            <w:r>
              <w:rPr>
                <w:rFonts w:hint="eastAsia" w:ascii="新宋体" w:hAnsi="新宋体" w:eastAsia="新宋体" w:cs="新宋体"/>
                <w:bCs/>
                <w:color w:val="auto"/>
                <w:kern w:val="2"/>
                <w:sz w:val="24"/>
                <w:szCs w:val="24"/>
                <w:highlight w:val="none"/>
                <w:lang w:eastAsia="zh-CN"/>
              </w:rPr>
              <w:t>地点：霍山永达工程咨询有限公司开标厅（</w:t>
            </w:r>
            <w:r>
              <w:rPr>
                <w:rFonts w:hint="eastAsia" w:ascii="新宋体" w:hAnsi="新宋体" w:eastAsia="新宋体" w:cs="新宋体"/>
                <w:bCs/>
                <w:color w:val="auto"/>
                <w:kern w:val="2"/>
                <w:sz w:val="24"/>
                <w:szCs w:val="24"/>
                <w:highlight w:val="none"/>
                <w:lang w:val="en-US" w:eastAsia="zh-CN"/>
              </w:rPr>
              <w:t>霍山县中兴南路14号</w:t>
            </w:r>
            <w:r>
              <w:rPr>
                <w:rFonts w:hint="eastAsia" w:ascii="新宋体" w:hAnsi="新宋体" w:eastAsia="新宋体" w:cs="新宋体"/>
                <w:bCs/>
                <w:color w:val="auto"/>
                <w:kern w:val="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68" w:hRule="atLeast"/>
          <w:jc w:val="center"/>
        </w:trPr>
        <w:tc>
          <w:tcPr>
            <w:tcW w:w="804" w:type="dxa"/>
            <w:vAlign w:val="center"/>
          </w:tcPr>
          <w:p>
            <w:pPr>
              <w:pStyle w:val="99"/>
              <w:pBdr>
                <w:bottom w:val="none" w:color="auto" w:sz="0" w:space="0"/>
              </w:pBdr>
              <w:tabs>
                <w:tab w:val="clear" w:pos="4153"/>
                <w:tab w:val="clear" w:pos="8306"/>
              </w:tabs>
              <w:adjustRightInd/>
              <w:spacing w:line="440" w:lineRule="exact"/>
              <w:textAlignment w:val="auto"/>
              <w:rPr>
                <w:rFonts w:hint="default" w:ascii="宋体" w:hAnsi="宋体" w:eastAsia="宋体"/>
                <w:b/>
                <w:color w:val="auto"/>
                <w:kern w:val="2"/>
                <w:szCs w:val="24"/>
                <w:highlight w:val="none"/>
                <w:lang w:val="en-US" w:eastAsia="zh-CN"/>
              </w:rPr>
            </w:pPr>
            <w:r>
              <w:rPr>
                <w:rFonts w:hint="eastAsia" w:ascii="宋体" w:hAnsi="宋体"/>
                <w:b/>
                <w:color w:val="auto"/>
                <w:kern w:val="2"/>
                <w:szCs w:val="24"/>
                <w:highlight w:val="none"/>
                <w:lang w:val="en-US" w:eastAsia="zh-CN"/>
              </w:rPr>
              <w:t>21</w:t>
            </w:r>
          </w:p>
        </w:tc>
        <w:tc>
          <w:tcPr>
            <w:tcW w:w="1502" w:type="dxa"/>
            <w:vAlign w:val="center"/>
          </w:tcPr>
          <w:p>
            <w:pPr>
              <w:keepNext w:val="0"/>
              <w:keepLines w:val="0"/>
              <w:widowControl/>
              <w:suppressLineNumbers w:val="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中标（成交）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 xml:space="preserve">通知书发出 </w:t>
            </w:r>
          </w:p>
          <w:p>
            <w:pPr>
              <w:keepNext w:val="0"/>
              <w:keepLines w:val="0"/>
              <w:widowControl/>
              <w:suppressLineNumbers w:val="0"/>
              <w:jc w:val="left"/>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的形式</w:t>
            </w:r>
          </w:p>
        </w:tc>
        <w:tc>
          <w:tcPr>
            <w:tcW w:w="7430" w:type="dxa"/>
            <w:vAlign w:val="center"/>
          </w:tcPr>
          <w:p>
            <w:pPr>
              <w:pStyle w:val="99"/>
              <w:pBdr>
                <w:bottom w:val="none" w:color="auto" w:sz="0" w:space="0"/>
              </w:pBdr>
              <w:tabs>
                <w:tab w:val="clear" w:pos="4153"/>
                <w:tab w:val="clear" w:pos="8306"/>
              </w:tabs>
              <w:adjustRightInd/>
              <w:spacing w:line="440" w:lineRule="exact"/>
              <w:jc w:val="left"/>
              <w:textAlignment w:val="auto"/>
              <w:rPr>
                <w:rFonts w:hint="eastAsia" w:ascii="宋体" w:hAnsi="宋体"/>
                <w:bCs/>
                <w:color w:val="auto"/>
                <w:kern w:val="2"/>
                <w:szCs w:val="24"/>
                <w:highlight w:val="none"/>
                <w:lang w:val="en-US" w:eastAsia="zh-CN"/>
              </w:rPr>
            </w:pPr>
            <w:r>
              <w:rPr>
                <w:rFonts w:hint="eastAsia" w:ascii="宋体" w:hAnsi="宋体"/>
                <w:bCs/>
                <w:color w:val="auto"/>
                <w:kern w:val="2"/>
                <w:szCs w:val="24"/>
                <w:highlight w:val="none"/>
                <w:lang w:val="en-US" w:eastAsia="zh-CN"/>
              </w:rPr>
              <w:t>纸质</w:t>
            </w:r>
          </w:p>
        </w:tc>
      </w:tr>
    </w:tbl>
    <w:p>
      <w:pPr>
        <w:rPr>
          <w:rFonts w:ascii="宋体" w:hAnsi="宋体" w:cs="宋体"/>
          <w:color w:val="auto"/>
          <w:szCs w:val="24"/>
          <w:highlight w:val="none"/>
        </w:rPr>
      </w:pPr>
    </w:p>
    <w:p>
      <w:pPr>
        <w:rPr>
          <w:rFonts w:hint="eastAsia" w:ascii="宋体" w:hAnsi="宋体" w:eastAsia="宋体" w:cs="宋体"/>
          <w:b/>
          <w:bCs/>
          <w:color w:val="auto"/>
          <w:sz w:val="24"/>
          <w:szCs w:val="24"/>
          <w:highlight w:val="none"/>
        </w:rPr>
      </w:pPr>
      <w:bookmarkStart w:id="53" w:name="_Toc14333"/>
      <w:r>
        <w:rPr>
          <w:rFonts w:hint="eastAsia" w:ascii="宋体" w:hAnsi="宋体" w:eastAsia="宋体" w:cs="宋体"/>
          <w:b/>
          <w:bCs/>
          <w:color w:val="auto"/>
          <w:sz w:val="24"/>
          <w:szCs w:val="24"/>
          <w:highlight w:val="none"/>
        </w:rPr>
        <w:br w:type="page"/>
      </w:r>
    </w:p>
    <w:p>
      <w:pPr>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（二）供应商资格</w:t>
      </w:r>
      <w:bookmarkEnd w:id="53"/>
    </w:p>
    <w:bookmarkEnd w:id="50"/>
    <w:p>
      <w:pPr>
        <w:pStyle w:val="2"/>
        <w:spacing w:line="520" w:lineRule="exact"/>
        <w:ind w:firstLine="480" w:firstLineChars="200"/>
        <w:rPr>
          <w:color w:val="auto"/>
          <w:highlight w:val="none"/>
        </w:rPr>
      </w:pPr>
      <w:bookmarkStart w:id="54" w:name="_Toc363199266"/>
      <w:bookmarkStart w:id="55" w:name="_Toc216158625"/>
      <w:bookmarkStart w:id="56" w:name="_Toc438648662"/>
      <w:r>
        <w:rPr>
          <w:rFonts w:hint="eastAsia"/>
          <w:color w:val="auto"/>
          <w:highlight w:val="none"/>
        </w:rPr>
        <w:t>见本项目采购公告</w:t>
      </w:r>
    </w:p>
    <w:p>
      <w:pPr>
        <w:pStyle w:val="8"/>
        <w:spacing w:before="120" w:beforeLines="50" w:after="120" w:afterLines="50" w:line="520" w:lineRule="exact"/>
        <w:jc w:val="center"/>
        <w:rPr>
          <w:rFonts w:ascii="宋体" w:hAnsi="宋体" w:eastAsia="宋体" w:cs="宋体"/>
          <w:color w:val="auto"/>
          <w:sz w:val="24"/>
          <w:szCs w:val="24"/>
          <w:highlight w:val="none"/>
        </w:rPr>
      </w:pPr>
      <w:bookmarkStart w:id="57" w:name="_Toc9435"/>
      <w:r>
        <w:rPr>
          <w:rFonts w:hint="eastAsia" w:ascii="宋体" w:hAnsi="宋体" w:eastAsia="宋体" w:cs="宋体"/>
          <w:color w:val="auto"/>
          <w:sz w:val="24"/>
          <w:szCs w:val="24"/>
          <w:highlight w:val="none"/>
        </w:rPr>
        <w:t>（三）供应商必须提交的响应文件内容</w:t>
      </w:r>
      <w:bookmarkEnd w:id="54"/>
      <w:bookmarkEnd w:id="55"/>
      <w:bookmarkEnd w:id="56"/>
      <w:bookmarkEnd w:id="57"/>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报价单</w:t>
      </w:r>
      <w:r>
        <w:rPr>
          <w:rFonts w:hint="eastAsia" w:ascii="宋体" w:hAnsi="宋体"/>
          <w:color w:val="auto"/>
          <w:sz w:val="24"/>
          <w:szCs w:val="24"/>
          <w:highlight w:val="none"/>
        </w:rPr>
        <w:t>；</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2、供应商基本信息；</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3、磋商授权书；</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4、磋商响应函；</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5、无重大违法记录声明函、无不良信用记录承诺函；</w:t>
      </w:r>
    </w:p>
    <w:p>
      <w:pPr>
        <w:spacing w:line="52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6、响应情况表；</w:t>
      </w:r>
    </w:p>
    <w:p>
      <w:pPr>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7、相关服务承诺函；</w:t>
      </w:r>
    </w:p>
    <w:p>
      <w:pPr>
        <w:spacing w:line="520" w:lineRule="exact"/>
        <w:ind w:firstLine="480" w:firstLineChars="200"/>
        <w:jc w:val="left"/>
        <w:rPr>
          <w:rFonts w:ascii="宋体" w:hAnsi="宋体" w:cs="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 xml:space="preserve">、磋商文件要求和供应商认为需要提供的其它说明和资料。 </w:t>
      </w:r>
    </w:p>
    <w:p>
      <w:pPr>
        <w:pStyle w:val="8"/>
        <w:spacing w:before="120" w:beforeLines="50" w:after="120" w:afterLines="50" w:line="520" w:lineRule="exact"/>
        <w:jc w:val="center"/>
        <w:rPr>
          <w:rFonts w:ascii="宋体" w:hAnsi="宋体" w:eastAsia="宋体" w:cs="宋体"/>
          <w:color w:val="auto"/>
          <w:sz w:val="24"/>
          <w:szCs w:val="24"/>
          <w:highlight w:val="none"/>
        </w:rPr>
      </w:pPr>
      <w:bookmarkStart w:id="58" w:name="_Toc9883"/>
      <w:r>
        <w:rPr>
          <w:rFonts w:hint="eastAsia" w:ascii="宋体" w:hAnsi="宋体" w:eastAsia="宋体" w:cs="宋体"/>
          <w:color w:val="auto"/>
          <w:sz w:val="24"/>
          <w:szCs w:val="24"/>
          <w:highlight w:val="none"/>
        </w:rPr>
        <w:t>（四）响应文件的提交</w:t>
      </w:r>
      <w:bookmarkEnd w:id="58"/>
    </w:p>
    <w:bookmarkEnd w:id="51"/>
    <w:bookmarkEnd w:id="52"/>
    <w:p>
      <w:pPr>
        <w:spacing w:line="520" w:lineRule="exact"/>
        <w:ind w:firstLine="480" w:firstLineChars="200"/>
        <w:jc w:val="left"/>
        <w:rPr>
          <w:rFonts w:hint="eastAsia" w:ascii="宋体" w:hAnsi="宋体" w:eastAsia="宋体" w:cs="Times New Roman"/>
          <w:color w:val="auto"/>
          <w:sz w:val="24"/>
          <w:szCs w:val="24"/>
          <w:highlight w:val="none"/>
        </w:rPr>
      </w:pPr>
      <w:bookmarkStart w:id="59" w:name="_Toc32682"/>
      <w:bookmarkStart w:id="60" w:name="_Toc15950"/>
      <w:r>
        <w:rPr>
          <w:rFonts w:hint="eastAsia" w:ascii="宋体" w:hAnsi="宋体" w:eastAsia="宋体" w:cs="Times New Roman"/>
          <w:color w:val="auto"/>
          <w:sz w:val="24"/>
          <w:szCs w:val="24"/>
          <w:highlight w:val="none"/>
        </w:rPr>
        <w:t>1.响应文件密封</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1.1响应文件应密封包装，并在封套的封口处加盖供应商单位章或由供应商的法定代表人（单位负责人）或其授权的代理人签字。</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1.2 响应文件封套上应写明的内容见供应商须知前附表。</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1.3 如果未按规定封装或加写标记，采购代理机构将不承担响应文件错放或提前开封的责任，并可能导致响应无效。</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2.响应文件的提交 </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2.1 供应商应在供应商须知前附表规定的响应文件递交截止时间前递交响应文件。</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2.2 供应商递交响应文件的地点：见供应商须知前附表。</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2.3 除供应商须知前附表另有规定外，供应商所递交的响应文件不予退还。</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2.4逾期送达的或者未送达指定地点的响应文件，采购人将予以拒收。</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3.响应文件的修改和撤回</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3.2供应商的修改书或撤回通知书，应按规定进行编制、密封、标记和提交，且标明“修改”或“撤回”字样。</w:t>
      </w:r>
    </w:p>
    <w:p>
      <w:pPr>
        <w:spacing w:line="520" w:lineRule="exact"/>
        <w:ind w:firstLine="480" w:firstLineChars="200"/>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3.3提交响应文件截止时间后不得修改响应文件。但属于</w:t>
      </w:r>
      <w:r>
        <w:rPr>
          <w:rFonts w:hint="eastAsia" w:ascii="宋体" w:hAnsi="宋体" w:eastAsia="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在评审中发现的计算错误并进行核实的修改、按照</w:t>
      </w:r>
      <w:r>
        <w:rPr>
          <w:rFonts w:hint="eastAsia" w:ascii="宋体" w:hAnsi="宋体" w:eastAsia="宋体" w:cs="Times New Roman"/>
          <w:color w:val="auto"/>
          <w:sz w:val="24"/>
          <w:szCs w:val="24"/>
          <w:highlight w:val="none"/>
          <w:lang w:eastAsia="zh-CN"/>
        </w:rPr>
        <w:t>磋商</w:t>
      </w:r>
      <w:r>
        <w:rPr>
          <w:rFonts w:hint="eastAsia" w:ascii="宋体" w:hAnsi="宋体" w:eastAsia="宋体" w:cs="Times New Roman"/>
          <w:color w:val="auto"/>
          <w:sz w:val="24"/>
          <w:szCs w:val="24"/>
          <w:highlight w:val="none"/>
        </w:rPr>
        <w:t>文件的变动情况和</w:t>
      </w:r>
      <w:r>
        <w:rPr>
          <w:rFonts w:hint="eastAsia" w:ascii="宋体" w:hAnsi="宋体" w:eastAsia="宋体" w:cs="Times New Roman"/>
          <w:color w:val="auto"/>
          <w:sz w:val="24"/>
          <w:szCs w:val="24"/>
          <w:highlight w:val="none"/>
          <w:lang w:eastAsia="zh-CN"/>
        </w:rPr>
        <w:t>磋商小组</w:t>
      </w:r>
      <w:r>
        <w:rPr>
          <w:rFonts w:hint="eastAsia" w:ascii="宋体" w:hAnsi="宋体" w:eastAsia="宋体" w:cs="Times New Roman"/>
          <w:color w:val="auto"/>
          <w:sz w:val="24"/>
          <w:szCs w:val="24"/>
          <w:highlight w:val="none"/>
        </w:rPr>
        <w:t>的要求重新提交响应文件的，不在此列。</w:t>
      </w:r>
    </w:p>
    <w:p>
      <w:pPr>
        <w:pStyle w:val="8"/>
        <w:spacing w:before="120" w:beforeLines="50" w:after="120" w:afterLines="50"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（五）磋商程序</w:t>
      </w:r>
      <w:bookmarkEnd w:id="59"/>
      <w:bookmarkEnd w:id="60"/>
    </w:p>
    <w:p>
      <w:pPr>
        <w:tabs>
          <w:tab w:val="left" w:pos="900"/>
        </w:tabs>
        <w:spacing w:line="5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1、磋商人员是按规定组成的三人或三人以上的磋商小组。</w:t>
      </w:r>
    </w:p>
    <w:p>
      <w:pPr>
        <w:spacing w:line="52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2、在掌握了供应商的基本情况后，与供应商分别进行磋商。 </w:t>
      </w:r>
    </w:p>
    <w:p>
      <w:pPr>
        <w:spacing w:line="52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3、磋商是分别单独进行的。供应商不得与其他参与磋商的供应商相互串通；磋商小组也不得将与某一供应商的磋商情况向其他供应商及其关系人透露。 </w:t>
      </w:r>
    </w:p>
    <w:p>
      <w:pPr>
        <w:spacing w:line="520" w:lineRule="exact"/>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4、磋商采用一轮磋商、两轮报价的方式进行。但最终采取多少轮磋商，由磋商小组视情况而定。</w:t>
      </w:r>
    </w:p>
    <w:p>
      <w:pPr>
        <w:spacing w:line="520" w:lineRule="exact"/>
        <w:ind w:firstLine="480" w:firstLineChars="200"/>
        <w:jc w:val="left"/>
        <w:rPr>
          <w:rFonts w:hint="eastAsia" w:ascii="宋体" w:hAnsi="宋体" w:eastAsia="宋体" w:cs="Times New Roman"/>
          <w:color w:val="auto"/>
          <w:sz w:val="24"/>
          <w:szCs w:val="24"/>
          <w:highlight w:val="none"/>
          <w:lang w:val="en-US" w:eastAsia="zh-CN"/>
        </w:rPr>
      </w:pPr>
      <w:bookmarkStart w:id="61" w:name="_Toc6912"/>
      <w:bookmarkStart w:id="62" w:name="_Toc8817"/>
      <w:bookmarkStart w:id="63" w:name="_Toc11542"/>
      <w:bookmarkStart w:id="64" w:name="_Toc7501"/>
      <w:r>
        <w:rPr>
          <w:rFonts w:hint="eastAsia" w:ascii="宋体" w:hAnsi="宋体" w:eastAsia="宋体" w:cs="Times New Roman"/>
          <w:color w:val="auto"/>
          <w:sz w:val="24"/>
          <w:szCs w:val="24"/>
          <w:highlight w:val="none"/>
          <w:lang w:val="en-US" w:eastAsia="zh-CN"/>
        </w:rPr>
        <w:t>5、磋商结束后，磋商小组将要求所有符合条件的供应商在规定的时间内进行最后的报价。供应商应在磋商小组发出二轮报价指令后30分钟内现场完成报价。</w:t>
      </w:r>
      <w:bookmarkEnd w:id="61"/>
      <w:bookmarkEnd w:id="62"/>
    </w:p>
    <w:p>
      <w:pPr>
        <w:pStyle w:val="8"/>
        <w:spacing w:before="120" w:beforeLines="50" w:after="120" w:afterLines="50" w:line="520" w:lineRule="exact"/>
        <w:ind w:firstLine="240" w:firstLineChars="100"/>
        <w:jc w:val="left"/>
        <w:rPr>
          <w:rFonts w:hint="eastAsia" w:ascii="宋体" w:hAnsi="宋体" w:eastAsia="宋体" w:cs="Times New Roman"/>
          <w:b w:val="0"/>
          <w:color w:val="auto"/>
          <w:kern w:val="2"/>
          <w:sz w:val="24"/>
          <w:szCs w:val="24"/>
          <w:highlight w:val="none"/>
          <w:lang w:val="en-US" w:eastAsia="zh-CN" w:bidi="ar-SA"/>
        </w:rPr>
      </w:pPr>
      <w:r>
        <w:rPr>
          <w:rFonts w:hint="eastAsia" w:ascii="宋体" w:hAnsi="宋体" w:eastAsia="宋体" w:cs="Times New Roman"/>
          <w:b w:val="0"/>
          <w:color w:val="auto"/>
          <w:kern w:val="2"/>
          <w:sz w:val="24"/>
          <w:szCs w:val="24"/>
          <w:highlight w:val="none"/>
          <w:lang w:val="en-US" w:eastAsia="zh-CN" w:bidi="ar-SA"/>
        </w:rPr>
        <w:t>6、供应商必须在规定的时间内将自己在磋商中作出的澄清、变动以及最终的报价，经供应商加盖公章后，以在线方式提交给磋商小组。</w:t>
      </w:r>
    </w:p>
    <w:p>
      <w:pPr>
        <w:pStyle w:val="8"/>
        <w:spacing w:before="120" w:beforeLines="50" w:after="120" w:afterLines="50" w:line="52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（六）评审及异常情况处理</w:t>
      </w:r>
      <w:bookmarkEnd w:id="63"/>
      <w:bookmarkEnd w:id="64"/>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1、磋商小组将遵循公平、公正的原则，对供应商最终提交的确认价进行综合评审，根据得分由高到低顺序推荐</w:t>
      </w:r>
      <w:r>
        <w:rPr>
          <w:rFonts w:hint="eastAsia" w:ascii="宋体" w:hAnsi="宋体" w:cs="宋体"/>
          <w:color w:val="auto"/>
          <w:sz w:val="24"/>
          <w:szCs w:val="24"/>
          <w:highlight w:val="none"/>
          <w:lang w:val="en-US" w:eastAsia="zh-CN"/>
        </w:rPr>
        <w:t>不少于3 名成交候选供应商</w:t>
      </w:r>
      <w:r>
        <w:rPr>
          <w:rFonts w:hint="eastAsia" w:ascii="宋体" w:hAnsi="宋体" w:cs="宋体"/>
          <w:color w:val="auto"/>
          <w:sz w:val="24"/>
          <w:szCs w:val="24"/>
          <w:highlight w:val="none"/>
        </w:rPr>
        <w:t>。</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2、磋商时出现以下情况之一的，将予以废标：</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（1）符合专业条件的供应商或者对采购文件作实质性响应的供应商不足</w:t>
      </w:r>
      <w:r>
        <w:rPr>
          <w:rFonts w:hint="eastAsia" w:ascii="宋体" w:hAnsi="宋体" w:cs="宋体"/>
          <w:color w:val="auto"/>
          <w:sz w:val="24"/>
          <w:szCs w:val="24"/>
          <w:highlight w:val="none"/>
          <w:lang w:val="en-US" w:eastAsia="zh-CN"/>
        </w:rPr>
        <w:t>三家的（若采购项目是政府购买服务项目只有2家的，竞争性磋商活动可以继续进行）；</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（2）供应商的报价均超过了采购预算，经过多轮磋商仍不能降到预算内、且采购人不能支付的；</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（3）经过磋商，供应商所提供的服务仍无法满足磋商文件实质性要求、影响工作的；</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（4）出现影响采购公正的违法、违规行为的；</w:t>
      </w:r>
    </w:p>
    <w:p>
      <w:pPr>
        <w:spacing w:line="52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rPr>
        <w:t>）因重大变故，采购任务取消的。</w:t>
      </w:r>
    </w:p>
    <w:p>
      <w:pPr>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、重新组织磋商，采购单位将通过</w:t>
      </w:r>
      <w:r>
        <w:rPr>
          <w:rFonts w:hint="eastAsia" w:ascii="宋体" w:hAnsi="宋体" w:cs="宋体"/>
          <w:color w:val="auto"/>
          <w:sz w:val="24"/>
          <w:szCs w:val="24"/>
          <w:highlight w:val="none"/>
          <w:lang w:val="en-US" w:eastAsia="zh-CN"/>
        </w:rPr>
        <w:t>六安市公共资源交易平台</w:t>
      </w:r>
      <w:r>
        <w:rPr>
          <w:rFonts w:hint="eastAsia" w:ascii="宋体" w:hAnsi="宋体" w:cs="宋体"/>
          <w:color w:val="auto"/>
          <w:sz w:val="24"/>
          <w:szCs w:val="24"/>
          <w:highlight w:val="none"/>
        </w:rPr>
        <w:t>公告。</w:t>
      </w:r>
    </w:p>
    <w:p>
      <w:pPr>
        <w:pStyle w:val="8"/>
        <w:spacing w:before="120" w:beforeLines="50" w:after="120" w:afterLines="50" w:line="520" w:lineRule="exact"/>
        <w:jc w:val="center"/>
        <w:rPr>
          <w:color w:val="auto"/>
          <w:highlight w:val="none"/>
        </w:rPr>
      </w:pPr>
      <w:bookmarkStart w:id="65" w:name="_Toc30632"/>
      <w:r>
        <w:rPr>
          <w:rFonts w:hint="eastAsia" w:ascii="宋体" w:hAnsi="宋体" w:eastAsia="宋体" w:cs="宋体"/>
          <w:color w:val="auto"/>
          <w:sz w:val="24"/>
          <w:szCs w:val="24"/>
          <w:highlight w:val="none"/>
        </w:rPr>
        <w:t>（七）报价响应及答疑</w:t>
      </w:r>
      <w:bookmarkEnd w:id="65"/>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1、响应报价应含有所投服务等环节所发生的一切费用。响应报价为供应商在响应文件中提出的各项支付金额的总和。 </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2、供应商应自行对服务现场和周围环境进行勘察，以获取编制响应文件和签署合同所需的资料。勘察现场所发生的费用由供应商自己承担。采购人向供应商提供的有关服务现场的资料和数据，是采购人现有的能使供应商利用的资料。采购人对供应商由此而做出的推论、理解和结论概不负责。供应商因自身原因未到服务现场实地踏勘的，成交后签订合同时和履约过程中，不得以不完全了解现场情况为由，提出任何形式的增加合同外造价或索赔的要求。 </w:t>
      </w:r>
    </w:p>
    <w:p>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mailto:3、供应商若对采购文件有关内容存在理解障碍，或认为采购文件表述有模糊不清之处，可通过电子邮箱（递交至3360568188@qq.com）提出，采购人（采购代理机构）收到供应商提问后将及时通过邮箱回复。供应商提问（非质疑的一般性问题）时应当隐藏自身信息，直接提出针对项目的相关疑问即可。提交成功后请供应商及时通过发出质疑的邮箱查看回复内容。"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供应商若对采购文件有关内容存在理解障碍，或认为采购文件表述有模糊不清之处，可通过电子邮箱（递交至</w:t>
      </w:r>
      <w:r>
        <w:rPr>
          <w:rFonts w:hint="eastAsia" w:ascii="宋体" w:hAnsi="宋体" w:cs="宋体"/>
          <w:color w:val="auto"/>
          <w:sz w:val="24"/>
          <w:szCs w:val="24"/>
          <w:highlight w:val="none"/>
          <w:lang w:val="en-US" w:eastAsia="zh-CN"/>
        </w:rPr>
        <w:t>278329470</w:t>
      </w:r>
      <w:r>
        <w:rPr>
          <w:rFonts w:hint="eastAsia" w:ascii="宋体" w:hAnsi="宋体" w:eastAsia="宋体" w:cs="宋体"/>
          <w:color w:val="auto"/>
          <w:sz w:val="24"/>
          <w:szCs w:val="24"/>
          <w:highlight w:val="none"/>
          <w:lang w:val="en-US" w:eastAsia="zh-CN"/>
        </w:rPr>
        <w:t>@qq.com）提出，采购人（采购代理机构）收到供应商提问后将及时通过邮箱回复。供应商提问（非质疑的一般性问题）时应当隐藏自身信息，直接提出针对项目的相关疑问即可。提交成功后请供应商及时通过发出质疑的邮箱查看回复内容。</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如涉及到更正或修改采购文件内容请供应商及时通过</w:t>
      </w:r>
      <w:r>
        <w:rPr>
          <w:rFonts w:hint="eastAsia" w:ascii="宋体" w:hAnsi="宋体" w:cs="宋体"/>
          <w:color w:val="auto"/>
          <w:sz w:val="24"/>
          <w:szCs w:val="24"/>
          <w:highlight w:val="none"/>
          <w:lang w:val="en-US" w:eastAsia="zh-CN"/>
        </w:rPr>
        <w:t>霍山永达工程咨询有限公司</w:t>
      </w:r>
      <w:r>
        <w:rPr>
          <w:rFonts w:hint="eastAsia" w:ascii="宋体" w:hAnsi="宋体" w:eastAsia="宋体" w:cs="宋体"/>
          <w:color w:val="auto"/>
          <w:sz w:val="24"/>
          <w:szCs w:val="24"/>
          <w:highlight w:val="none"/>
          <w:lang w:val="en-US" w:eastAsia="zh-CN"/>
        </w:rPr>
        <w:t xml:space="preserve">查看更正公告文件。 </w:t>
      </w:r>
    </w:p>
    <w:p>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4、供应商应确保其所提供的响应资料的真实性、有效性及合法性，否则，由此引起的任何责任由其自行承担。</w:t>
      </w:r>
    </w:p>
    <w:p>
      <w:pPr>
        <w:spacing w:line="520" w:lineRule="exact"/>
        <w:ind w:firstLine="480" w:firstLineChars="200"/>
        <w:rPr>
          <w:rFonts w:ascii="宋体" w:hAnsi="宋体" w:cs="宋体"/>
          <w:color w:val="auto"/>
          <w:sz w:val="24"/>
          <w:szCs w:val="24"/>
          <w:highlight w:val="none"/>
        </w:rPr>
      </w:pPr>
    </w:p>
    <w:p>
      <w:pPr>
        <w:pStyle w:val="8"/>
        <w:spacing w:before="120" w:beforeLines="50" w:after="120" w:afterLines="50" w:line="520" w:lineRule="exact"/>
        <w:jc w:val="center"/>
        <w:rPr>
          <w:rFonts w:ascii="宋体" w:hAnsi="宋体" w:eastAsia="宋体" w:cs="宋体"/>
          <w:color w:val="auto"/>
          <w:sz w:val="24"/>
          <w:szCs w:val="24"/>
          <w:highlight w:val="none"/>
        </w:rPr>
      </w:pPr>
      <w:bookmarkStart w:id="66" w:name="_Toc19999"/>
      <w:r>
        <w:rPr>
          <w:rFonts w:hint="eastAsia" w:ascii="宋体" w:hAnsi="宋体" w:eastAsia="宋体" w:cs="宋体"/>
          <w:color w:val="auto"/>
          <w:sz w:val="24"/>
          <w:szCs w:val="24"/>
          <w:highlight w:val="none"/>
        </w:rPr>
        <w:t>（八）合同的签订</w:t>
      </w:r>
      <w:bookmarkEnd w:id="66"/>
    </w:p>
    <w:p>
      <w:pPr>
        <w:spacing w:line="52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rPr>
        <w:t>1、采购人应尽量缩短采购合同签订时间，不得晚于中标（成交）通知书发放之日起</w:t>
      </w:r>
      <w:r>
        <w:rPr>
          <w:rFonts w:hint="eastAsia" w:ascii="宋体" w:hAnsi="宋体" w:cs="Arial"/>
          <w:color w:val="auto"/>
          <w:sz w:val="24"/>
          <w:szCs w:val="24"/>
          <w:highlight w:val="none"/>
          <w:lang w:val="en-US" w:eastAsia="zh-CN"/>
        </w:rPr>
        <w:t>30</w:t>
      </w:r>
      <w:r>
        <w:rPr>
          <w:rFonts w:hint="eastAsia" w:ascii="宋体" w:hAnsi="宋体" w:cs="Arial"/>
          <w:color w:val="auto"/>
          <w:sz w:val="24"/>
          <w:szCs w:val="24"/>
          <w:highlight w:val="none"/>
        </w:rPr>
        <w:t>个工作日。无正当理由不得拒绝或者拖延签订合同，因供应商自身原因导致无法及时签订的除外。采购文件、成交供应商的响应文件及澄清文件等，均作为合同的附件。</w:t>
      </w:r>
    </w:p>
    <w:p>
      <w:pPr>
        <w:spacing w:line="520" w:lineRule="exact"/>
        <w:ind w:firstLine="480" w:firstLineChars="200"/>
        <w:jc w:val="left"/>
        <w:rPr>
          <w:rFonts w:hint="eastAsia" w:ascii="宋体" w:hAnsi="宋体" w:cs="Arial"/>
          <w:color w:val="auto"/>
          <w:sz w:val="24"/>
          <w:szCs w:val="24"/>
          <w:highlight w:val="none"/>
        </w:rPr>
      </w:pPr>
      <w:r>
        <w:rPr>
          <w:rFonts w:hint="eastAsia" w:ascii="宋体" w:hAnsi="宋体" w:cs="Arial"/>
          <w:color w:val="auto"/>
          <w:sz w:val="24"/>
          <w:szCs w:val="24"/>
          <w:highlight w:val="none"/>
          <w:lang w:val="en-US" w:eastAsia="zh-CN"/>
        </w:rPr>
        <w:t>2、采购单位在签订合同时，可以在不改变合同其他条款的前提下变更采购数量，但变更的金额不得超过成交总价的10%（具体根据采购人要求）。</w:t>
      </w:r>
    </w:p>
    <w:p>
      <w:pPr>
        <w:spacing w:line="520" w:lineRule="exact"/>
        <w:ind w:firstLine="480" w:firstLineChars="200"/>
        <w:jc w:val="left"/>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w:t>
      </w:r>
      <w:r>
        <w:rPr>
          <w:rFonts w:ascii="宋体" w:hAnsi="宋体" w:cs="Arial"/>
          <w:color w:val="auto"/>
          <w:sz w:val="24"/>
          <w:szCs w:val="24"/>
          <w:highlight w:val="none"/>
        </w:rPr>
        <w:t>成交供应商因不可抗力或者自身原因不能在规定的时间内与采购人签订采购</w:t>
      </w:r>
      <w:r>
        <w:rPr>
          <w:rFonts w:hint="eastAsia" w:ascii="宋体" w:hAnsi="宋体" w:cs="Arial"/>
          <w:color w:val="auto"/>
          <w:sz w:val="24"/>
          <w:szCs w:val="24"/>
          <w:highlight w:val="none"/>
        </w:rPr>
        <w:t>合同，采购人可以与排在成交供应商后第一位的候选供应商签订采购合同，以此类推或重新组织采购。</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4、因政策变化等原因不能签订合同，造成企业合法利益受损的情形，采购人可以与供应商充分协商，给予合理补偿。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5、在签订合同时，供应商书面明确表示无需预付款或者主动要求降低预付款比例的，采购人可不适用前述（即付款方式）规定。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6、采购文件和合同中没有约定预付款的，经供应商申请，采购人可以支付预付款。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7、采购人可根据项目特点、供应商诚信等因素，要求供应商提交银行、保险公司、担保公司等金融机构出具的预付款保函或其他担保措施。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8、政府采购预付款应在合同、担保措施生效以及具备实施条件后 5 个工作日内支付。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9、延迟支付中小企业款项的，供应商可要求采购人按照合同约定支付逾期利息，合同没有约定的，按照同期人民银行 LPR 支付逾期利息。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10、成交供应商无正当理由不与采购人订立合同的处罚依据：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（1）《中华人民共和国政府采购法实施条例》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第七十二条 供应商有下列情形之一的，依照政府采购法第七十七条第一款的规定追究法律责任：……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（二）中标或者成交后无正当理由拒不与采购人签订政府采购合同；……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（2）《中华人民共和国政府采购法》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（3）《政府采购非招标采购方式管理办法》（财政部令第 74 号） </w:t>
      </w:r>
    </w:p>
    <w:p>
      <w:pPr>
        <w:spacing w:line="520" w:lineRule="exact"/>
        <w:ind w:firstLine="480" w:firstLineChars="200"/>
        <w:jc w:val="left"/>
        <w:rPr>
          <w:rFonts w:hint="eastAsia" w:ascii="宋体" w:hAnsi="宋体" w:cs="Arial"/>
          <w:color w:val="auto"/>
          <w:sz w:val="24"/>
          <w:szCs w:val="24"/>
          <w:highlight w:val="none"/>
          <w:lang w:val="en-US" w:eastAsia="zh-CN"/>
        </w:rPr>
      </w:pPr>
      <w:r>
        <w:rPr>
          <w:rFonts w:hint="eastAsia" w:ascii="宋体" w:hAnsi="宋体" w:cs="Arial"/>
          <w:color w:val="auto"/>
          <w:sz w:val="24"/>
          <w:szCs w:val="24"/>
          <w:highlight w:val="none"/>
          <w:lang w:val="en-US" w:eastAsia="zh-CN"/>
        </w:rPr>
        <w:t xml:space="preserve">第五十四条 成交供应商有下列情形之一的，责令限期整改，情节严重的，列入不良行为记录名单，在 1 至 3 年内禁止参加政府采购活动，并予以通报：…… </w:t>
      </w:r>
    </w:p>
    <w:p>
      <w:pPr>
        <w:spacing w:line="520" w:lineRule="exact"/>
        <w:ind w:firstLine="480" w:firstLineChars="200"/>
        <w:jc w:val="left"/>
        <w:rPr>
          <w:rFonts w:ascii="宋体" w:hAnsi="宋体" w:cs="宋体"/>
          <w:color w:val="auto"/>
          <w:szCs w:val="24"/>
          <w:highlight w:val="none"/>
        </w:rPr>
      </w:pPr>
      <w:r>
        <w:rPr>
          <w:rFonts w:hint="eastAsia" w:ascii="宋体" w:hAnsi="宋体" w:cs="Arial"/>
          <w:color w:val="auto"/>
          <w:sz w:val="24"/>
          <w:szCs w:val="24"/>
          <w:highlight w:val="none"/>
          <w:lang w:val="en-US" w:eastAsia="zh-CN"/>
        </w:rPr>
        <w:t>（二）成交后无正当理由不与采购人签订合同的；……</w:t>
      </w:r>
    </w:p>
    <w:p>
      <w:pPr>
        <w:pStyle w:val="8"/>
        <w:spacing w:before="120" w:beforeLines="50" w:after="120" w:afterLines="50" w:line="520" w:lineRule="exact"/>
        <w:jc w:val="center"/>
        <w:rPr>
          <w:rFonts w:ascii="宋体" w:hAnsi="宋体" w:eastAsia="宋体" w:cs="宋体"/>
          <w:color w:val="auto"/>
          <w:sz w:val="24"/>
          <w:szCs w:val="24"/>
          <w:highlight w:val="none"/>
        </w:rPr>
      </w:pPr>
      <w:bookmarkStart w:id="67" w:name="_Toc1832"/>
      <w:r>
        <w:rPr>
          <w:rFonts w:hint="eastAsia" w:ascii="宋体" w:hAnsi="宋体" w:eastAsia="宋体" w:cs="宋体"/>
          <w:color w:val="auto"/>
          <w:sz w:val="24"/>
          <w:szCs w:val="24"/>
          <w:highlight w:val="none"/>
        </w:rPr>
        <w:t>（九）澄清及变更</w:t>
      </w:r>
      <w:bookmarkEnd w:id="67"/>
    </w:p>
    <w:p>
      <w:pPr>
        <w:spacing w:line="520" w:lineRule="exact"/>
        <w:ind w:firstLine="480" w:firstLineChars="200"/>
        <w:rPr>
          <w:color w:val="auto"/>
          <w:highlight w:val="none"/>
        </w:rPr>
      </w:pPr>
      <w:r>
        <w:rPr>
          <w:rFonts w:hint="eastAsia" w:ascii="宋体" w:hAnsi="宋体"/>
          <w:color w:val="auto"/>
          <w:sz w:val="24"/>
          <w:szCs w:val="24"/>
          <w:highlight w:val="none"/>
        </w:rPr>
        <w:t>磋商文件如有澄清及变更，将以网上公告形式发布，请供应商及时关注。</w:t>
      </w:r>
    </w:p>
    <w:p>
      <w:pPr>
        <w:pStyle w:val="8"/>
        <w:spacing w:before="120" w:beforeLines="50" w:after="120" w:afterLines="50" w:line="520" w:lineRule="exact"/>
        <w:jc w:val="center"/>
        <w:rPr>
          <w:rFonts w:hint="eastAsia" w:ascii="宋体" w:hAnsi="宋体" w:eastAsia="宋体" w:cs="Times New Roman"/>
          <w:b/>
          <w:bCs/>
          <w:color w:val="auto"/>
          <w:kern w:val="2"/>
          <w:sz w:val="24"/>
          <w:szCs w:val="24"/>
          <w:highlight w:val="none"/>
          <w:lang w:val="en-US" w:eastAsia="zh-CN" w:bidi="ar-SA"/>
        </w:rPr>
      </w:pPr>
      <w:bookmarkStart w:id="68" w:name="_Toc18928"/>
      <w:r>
        <w:rPr>
          <w:rFonts w:hint="eastAsia" w:ascii="宋体" w:hAnsi="宋体" w:eastAsia="宋体" w:cs="Times New Roman"/>
          <w:b/>
          <w:bCs/>
          <w:color w:val="auto"/>
          <w:kern w:val="2"/>
          <w:sz w:val="24"/>
          <w:szCs w:val="24"/>
          <w:highlight w:val="none"/>
          <w:lang w:val="en-US" w:eastAsia="zh-CN" w:bidi="ar-SA"/>
        </w:rPr>
        <w:t>（十）验收</w:t>
      </w:r>
      <w:bookmarkEnd w:id="68"/>
      <w:r>
        <w:rPr>
          <w:rFonts w:hint="eastAsia" w:ascii="宋体" w:hAnsi="宋体" w:eastAsia="宋体" w:cs="Times New Roman"/>
          <w:b/>
          <w:bCs/>
          <w:color w:val="auto"/>
          <w:kern w:val="2"/>
          <w:sz w:val="24"/>
          <w:szCs w:val="24"/>
          <w:highlight w:val="none"/>
          <w:lang w:val="en-US" w:eastAsia="zh-CN" w:bidi="ar-SA"/>
        </w:rPr>
        <w:t>与支付</w:t>
      </w:r>
    </w:p>
    <w:p>
      <w:pPr>
        <w:spacing w:line="52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1、采购人应当在项目完成且收到供应商验收申请后 5 个工作日内组织开展履约验收。</w:t>
      </w:r>
    </w:p>
    <w:p>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、涉及安全、消防、环保等其他需要由质检或行业主管部门进行验收的项目，必须邀请相关部门或相关专家参与验收。</w:t>
      </w:r>
    </w:p>
    <w:p>
      <w:pPr>
        <w:spacing w:line="52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4、对于符合支付条件的项目，应在收到发票后 7 个工作日内将资金支付到合同约定的供应商账户，不得以进行审计作为支付供应商款项的条件。采购人不得以机构变动、人员更替、政策调整、履行内部付款流程等为由延迟付款。</w:t>
      </w:r>
    </w:p>
    <w:p>
      <w:pPr>
        <w:pStyle w:val="8"/>
        <w:spacing w:before="120" w:beforeLines="50" w:after="120" w:afterLines="50" w:line="520" w:lineRule="exact"/>
        <w:jc w:val="center"/>
        <w:rPr>
          <w:rFonts w:ascii="宋体" w:hAnsi="宋体" w:eastAsia="宋体" w:cs="宋体"/>
          <w:color w:val="auto"/>
          <w:sz w:val="24"/>
          <w:szCs w:val="24"/>
          <w:highlight w:val="none"/>
        </w:rPr>
      </w:pPr>
      <w:bookmarkStart w:id="69" w:name="_Toc3680"/>
      <w:r>
        <w:rPr>
          <w:rFonts w:hint="eastAsia" w:ascii="宋体" w:hAnsi="宋体" w:eastAsia="宋体" w:cs="宋体"/>
          <w:color w:val="auto"/>
          <w:sz w:val="24"/>
          <w:szCs w:val="24"/>
          <w:highlight w:val="none"/>
        </w:rPr>
        <w:t>（十一）质疑</w:t>
      </w:r>
      <w:bookmarkEnd w:id="69"/>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1、质疑人认为磋商结果使自己的权益受到损害的，可以向采购人及采购代理机构提出质疑。质疑实行实名制，应当有具体的事项及根据，不得进行虚假、恶意质疑，扰乱公共资源交易活动的正常工作秩序。</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2、质疑应在规定时限内提出： </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对政府采购中标结果的质疑，应在中标结果公布之日起七个工作日内提出。</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3、质疑应以书面形式实名提出，书面质疑材料应当包括以下内容：</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3.1质疑人的名称、地址、有效联系方式；</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3.2项目名称、项目编号、包别号（如有）；</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3.3被质疑人名称；</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3.4具体的质疑事项、基本事实及必要的证明材料；</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3.5明确的请求及主张；</w:t>
      </w:r>
    </w:p>
    <w:p>
      <w:pPr>
        <w:widowControl/>
        <w:spacing w:line="520" w:lineRule="exact"/>
        <w:ind w:firstLine="480" w:firstLineChars="200"/>
        <w:jc w:val="left"/>
        <w:rPr>
          <w:rFonts w:ascii="宋体" w:hAnsi="宋体"/>
          <w:bCs/>
          <w:color w:val="auto"/>
          <w:sz w:val="24"/>
          <w:highlight w:val="none"/>
        </w:rPr>
      </w:pPr>
      <w:r>
        <w:rPr>
          <w:rFonts w:hint="eastAsia" w:ascii="宋体" w:hAnsi="宋体"/>
          <w:bCs/>
          <w:color w:val="auto"/>
          <w:sz w:val="24"/>
          <w:highlight w:val="none"/>
        </w:rPr>
        <w:t>3.6提起质疑的日期。</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质疑人为法人或者其他组织的，应当由法定代表人或其委托代理人（需有委托授权书）签字并加盖公章。</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质疑人需要修改、补充质疑材料的，应当在质疑期内提交修改或补充材料。</w:t>
      </w:r>
    </w:p>
    <w:p>
      <w:pPr>
        <w:spacing w:line="52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4、有下列情形之一的，不予受理：</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4.1提起质疑的主体不是参与该政府采购项目活动的供应商；</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4.2提起质疑的时间超过规定时限的；</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4.3质疑材料不完整的；</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4.4质疑事项含有主观猜测等内容且未提供有效线索、难以查证的；</w:t>
      </w:r>
    </w:p>
    <w:p>
      <w:pPr>
        <w:widowControl/>
        <w:spacing w:line="52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4.5对其他投标供应商的</w:t>
      </w: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详细内容质疑，无法提供合法来源渠道的；</w:t>
      </w:r>
    </w:p>
    <w:p>
      <w:pPr>
        <w:widowControl/>
        <w:spacing w:line="520" w:lineRule="exact"/>
        <w:ind w:firstLine="480" w:firstLineChars="200"/>
        <w:jc w:val="left"/>
        <w:rPr>
          <w:rFonts w:ascii="仿宋_GB2312" w:hAnsi="宋体" w:eastAsia="仿宋_GB2312" w:cs="宋体"/>
          <w:color w:val="auto"/>
          <w:kern w:val="0"/>
          <w:sz w:val="24"/>
          <w:szCs w:val="24"/>
          <w:highlight w:val="none"/>
        </w:rPr>
      </w:pPr>
      <w:r>
        <w:rPr>
          <w:rFonts w:hint="eastAsia" w:ascii="宋体" w:hAnsi="宋体" w:cs="宋体"/>
          <w:color w:val="auto"/>
          <w:kern w:val="0"/>
          <w:sz w:val="24"/>
          <w:szCs w:val="24"/>
          <w:highlight w:val="none"/>
        </w:rPr>
        <w:t>4.6质疑事项已进入投诉处理、行政复议或行政诉讼程序的。</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5、经审查符合质疑条件的，自收到质疑之日起即为受理。采购人及采购代理机构将在质疑受理后7个工作日内作出答复或相关处理决定，并以书面形式通知质疑人，答复的内容不得涉及商业秘密。</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6、质疑人在答复期满前撤回质疑的，应由法定代表人或授权代表人签字确认，即终止质疑处理程序。质疑人不得以同一理由再次提出质疑。</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质疑人对质疑答复不满意或采购人及采购代理机构未在规定时间内做出答复的，可以在规定期限内向</w:t>
      </w:r>
      <w:r>
        <w:rPr>
          <w:rFonts w:hint="eastAsia" w:ascii="宋体" w:hAnsi="宋体"/>
          <w:bCs/>
          <w:color w:val="auto"/>
          <w:sz w:val="24"/>
          <w:highlight w:val="none"/>
          <w:lang w:eastAsia="zh-CN"/>
        </w:rPr>
        <w:t>监督部门</w:t>
      </w:r>
      <w:r>
        <w:rPr>
          <w:rFonts w:hint="eastAsia" w:ascii="宋体" w:hAnsi="宋体"/>
          <w:bCs/>
          <w:color w:val="auto"/>
          <w:sz w:val="24"/>
          <w:highlight w:val="none"/>
        </w:rPr>
        <w:t>提起投诉。</w:t>
      </w:r>
    </w:p>
    <w:p>
      <w:pPr>
        <w:spacing w:line="520" w:lineRule="exact"/>
        <w:ind w:firstLine="480" w:firstLineChars="200"/>
        <w:rPr>
          <w:rFonts w:ascii="宋体" w:hAnsi="宋体"/>
          <w:bCs/>
          <w:color w:val="auto"/>
          <w:sz w:val="24"/>
          <w:highlight w:val="none"/>
        </w:rPr>
      </w:pPr>
      <w:r>
        <w:rPr>
          <w:rFonts w:hint="eastAsia" w:ascii="宋体" w:hAnsi="宋体"/>
          <w:bCs/>
          <w:color w:val="auto"/>
          <w:sz w:val="24"/>
          <w:highlight w:val="none"/>
        </w:rPr>
        <w:t>质疑人应在答复期满后十五个工作日内提起投诉。</w:t>
      </w:r>
    </w:p>
    <w:p>
      <w:pPr>
        <w:spacing w:line="520" w:lineRule="exact"/>
        <w:ind w:firstLine="480" w:firstLineChars="200"/>
        <w:rPr>
          <w:rFonts w:hint="eastAsia" w:ascii="宋体" w:hAnsi="宋体"/>
          <w:bCs/>
          <w:color w:val="auto"/>
          <w:sz w:val="24"/>
          <w:highlight w:val="none"/>
        </w:rPr>
      </w:pPr>
      <w:bookmarkStart w:id="70" w:name="_Toc216158630"/>
      <w:r>
        <w:rPr>
          <w:rFonts w:hint="eastAsia" w:ascii="宋体" w:hAnsi="宋体"/>
          <w:bCs/>
          <w:color w:val="auto"/>
          <w:sz w:val="24"/>
          <w:highlight w:val="none"/>
          <w:lang w:val="en-US" w:eastAsia="zh-CN"/>
        </w:rPr>
        <w:t xml:space="preserve">7、投诉人在全国范围 12 个月内三次以上投诉查无实据的，由监督部门列入不良行为记录名单。 </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 xml:space="preserve">投诉人有下列行为之一的，属于虚假、恶意投诉，由监督部门列入不良行为记录名单，禁止其 1 至 3 年内参加政府采购活动： </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 xml:space="preserve">（一）捏造事实; </w:t>
      </w:r>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 xml:space="preserve">（二）提供虚假材料; </w:t>
      </w:r>
    </w:p>
    <w:p>
      <w:pPr>
        <w:spacing w:line="520" w:lineRule="exact"/>
        <w:ind w:firstLine="480" w:firstLineChars="200"/>
        <w:rPr>
          <w:rFonts w:hint="eastAsia" w:ascii="宋体" w:hAnsi="宋体" w:eastAsia="宋体" w:cs="宋体"/>
          <w:b/>
          <w:bCs/>
          <w:color w:val="auto"/>
          <w:sz w:val="28"/>
          <w:szCs w:val="28"/>
          <w:highlight w:val="none"/>
        </w:rPr>
      </w:pPr>
      <w:r>
        <w:rPr>
          <w:rFonts w:hint="eastAsia" w:ascii="宋体" w:hAnsi="宋体"/>
          <w:bCs/>
          <w:color w:val="auto"/>
          <w:sz w:val="24"/>
          <w:highlight w:val="none"/>
          <w:lang w:val="en-US" w:eastAsia="zh-CN"/>
        </w:rPr>
        <w:t>（三）以非法手段取得证明材料。证据来源的合法性存在明显疑问，投诉人无法证明其取得方式合法的，视为以非法手段取得证明材料。</w:t>
      </w:r>
      <w:bookmarkStart w:id="71" w:name="_Toc22378"/>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pStyle w:val="2"/>
        <w:ind w:left="0" w:leftChars="0" w:firstLine="0" w:firstLineChars="0"/>
        <w:rPr>
          <w:rFonts w:hint="eastAsia" w:ascii="宋体" w:hAnsi="宋体" w:eastAsia="宋体" w:cs="宋体"/>
          <w:b/>
          <w:bCs/>
          <w:color w:val="auto"/>
          <w:sz w:val="28"/>
          <w:szCs w:val="28"/>
          <w:highlight w:val="none"/>
        </w:rPr>
      </w:pPr>
    </w:p>
    <w:p>
      <w:pPr>
        <w:pStyle w:val="6"/>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p>
    <w:p>
      <w:pPr>
        <w:pStyle w:val="6"/>
        <w:ind w:left="0" w:leftChars="0" w:firstLine="0" w:firstLineChars="0"/>
        <w:rPr>
          <w:rFonts w:hint="eastAsia" w:ascii="宋体" w:hAnsi="宋体" w:eastAsia="宋体" w:cs="宋体"/>
          <w:b/>
          <w:bCs/>
          <w:color w:val="auto"/>
          <w:sz w:val="28"/>
          <w:szCs w:val="28"/>
          <w:highlight w:val="none"/>
        </w:rPr>
      </w:pPr>
    </w:p>
    <w:p>
      <w:pPr>
        <w:jc w:val="both"/>
        <w:rPr>
          <w:rFonts w:hint="eastAsia" w:ascii="宋体" w:hAnsi="宋体" w:eastAsia="宋体" w:cs="宋体"/>
          <w:b/>
          <w:bCs/>
          <w:color w:val="auto"/>
          <w:sz w:val="28"/>
          <w:szCs w:val="28"/>
          <w:highlight w:val="none"/>
        </w:rPr>
      </w:pPr>
    </w:p>
    <w:p>
      <w:pPr>
        <w:jc w:val="center"/>
        <w:rPr>
          <w:rFonts w:hint="eastAsia" w:ascii="宋体" w:hAnsi="宋体" w:eastAsia="宋体" w:cs="宋体"/>
          <w:b/>
          <w:bCs/>
          <w:color w:val="auto"/>
          <w:sz w:val="28"/>
          <w:szCs w:val="28"/>
          <w:highlight w:val="none"/>
        </w:rPr>
      </w:pPr>
    </w:p>
    <w:p>
      <w:pPr>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二、采购合同</w:t>
      </w:r>
      <w:bookmarkEnd w:id="71"/>
    </w:p>
    <w:bookmarkEnd w:id="70"/>
    <w:p>
      <w:pPr>
        <w:spacing w:line="253" w:lineRule="auto"/>
        <w:jc w:val="center"/>
        <w:rPr>
          <w:b/>
          <w:bCs/>
          <w:color w:val="auto"/>
          <w:highlight w:val="none"/>
        </w:rPr>
      </w:pPr>
      <w:bookmarkStart w:id="72" w:name="_Toc363199273"/>
    </w:p>
    <w:p>
      <w:pPr>
        <w:keepNext w:val="0"/>
        <w:keepLines w:val="0"/>
        <w:widowControl/>
        <w:suppressLineNumbers w:val="0"/>
        <w:jc w:val="left"/>
        <w:rPr>
          <w:rFonts w:hint="default"/>
          <w:color w:val="auto"/>
          <w:highlight w:val="none"/>
          <w:u w:val="single"/>
          <w:lang w:val="en-US"/>
        </w:rPr>
      </w:pPr>
      <w:r>
        <w:rPr>
          <w:rFonts w:hint="eastAsia" w:ascii="宋体" w:hAnsi="宋体" w:eastAsia="宋体" w:cs="宋体"/>
          <w:b/>
          <w:bCs/>
          <w:color w:val="auto"/>
          <w:kern w:val="0"/>
          <w:sz w:val="28"/>
          <w:szCs w:val="28"/>
          <w:highlight w:val="none"/>
          <w:lang w:val="en-US" w:eastAsia="zh-CN" w:bidi="ar"/>
        </w:rPr>
        <w:t>合同编号：</w:t>
      </w:r>
      <w:r>
        <w:rPr>
          <w:rFonts w:hint="eastAsia" w:ascii="宋体" w:hAnsi="宋体" w:eastAsia="宋体" w:cs="宋体"/>
          <w:b/>
          <w:bCs/>
          <w:color w:val="auto"/>
          <w:kern w:val="0"/>
          <w:sz w:val="28"/>
          <w:szCs w:val="28"/>
          <w:highlight w:val="none"/>
          <w:u w:val="single"/>
          <w:lang w:val="en-US" w:eastAsia="zh-CN" w:bidi="ar"/>
        </w:rPr>
        <w:t xml:space="preserve">            </w:t>
      </w:r>
      <w:r>
        <w:rPr>
          <w:rFonts w:hint="eastAsia" w:ascii="宋体" w:hAnsi="宋体" w:eastAsia="宋体" w:cs="宋体"/>
          <w:b/>
          <w:bCs/>
          <w:color w:val="auto"/>
          <w:kern w:val="0"/>
          <w:sz w:val="28"/>
          <w:szCs w:val="28"/>
          <w:highlight w:val="none"/>
          <w:lang w:val="en-US" w:eastAsia="zh-CN" w:bidi="ar"/>
        </w:rPr>
        <w:t xml:space="preserve"> ；</w:t>
      </w:r>
    </w:p>
    <w:p>
      <w:pPr>
        <w:keepNext w:val="0"/>
        <w:keepLines w:val="0"/>
        <w:widowControl/>
        <w:suppressLineNumbers w:val="0"/>
        <w:jc w:val="center"/>
        <w:rPr>
          <w:rFonts w:hint="eastAsia" w:ascii="宋体" w:hAnsi="宋体" w:eastAsia="宋体" w:cs="宋体"/>
          <w:b/>
          <w:bCs/>
          <w:color w:val="auto"/>
          <w:kern w:val="0"/>
          <w:sz w:val="40"/>
          <w:szCs w:val="40"/>
          <w:highlight w:val="none"/>
          <w:lang w:val="en-US" w:eastAsia="zh-CN" w:bidi="ar"/>
        </w:rPr>
      </w:pP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eastAsia="zh-CN"/>
        </w:rPr>
        <w:t xml:space="preserve"> 淠河防洪治理工程（霍山段）</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eastAsia="宋体" w:cs="宋体"/>
          <w:b/>
          <w:bCs/>
          <w:color w:val="auto"/>
          <w:kern w:val="0"/>
          <w:sz w:val="36"/>
          <w:szCs w:val="36"/>
          <w:highlight w:val="none"/>
          <w:lang w:val="en-US" w:eastAsia="zh-CN" w:bidi="ar"/>
        </w:rPr>
      </w:pPr>
      <w:r>
        <w:rPr>
          <w:rFonts w:hint="eastAsia" w:ascii="宋体" w:hAnsi="宋体"/>
          <w:b/>
          <w:bCs/>
          <w:color w:val="auto"/>
          <w:sz w:val="44"/>
          <w:szCs w:val="44"/>
          <w:highlight w:val="none"/>
          <w:lang w:val="en-US" w:eastAsia="zh-CN"/>
        </w:rPr>
        <w:t>环境保护</w:t>
      </w:r>
      <w:r>
        <w:rPr>
          <w:rFonts w:hint="eastAsia" w:ascii="宋体" w:hAnsi="宋体"/>
          <w:b/>
          <w:bCs/>
          <w:color w:val="auto"/>
          <w:sz w:val="44"/>
          <w:szCs w:val="44"/>
          <w:highlight w:val="none"/>
          <w:lang w:eastAsia="zh-CN"/>
        </w:rPr>
        <w:t>监测及验收服务</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技</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术</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服</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务</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合</w:t>
      </w:r>
    </w:p>
    <w:p>
      <w:pPr>
        <w:keepNext w:val="0"/>
        <w:keepLines w:val="0"/>
        <w:pageBreakBefore w:val="0"/>
        <w:widowControl w:val="0"/>
        <w:tabs>
          <w:tab w:val="left" w:pos="420"/>
        </w:tabs>
        <w:kinsoku/>
        <w:wordWrap/>
        <w:overflowPunct/>
        <w:topLinePunct w:val="0"/>
        <w:autoSpaceDE/>
        <w:autoSpaceDN/>
        <w:bidi w:val="0"/>
        <w:adjustRightInd/>
        <w:snapToGrid/>
        <w:spacing w:before="360" w:beforeLines="150" w:line="600" w:lineRule="exact"/>
        <w:jc w:val="center"/>
        <w:textAlignment w:val="auto"/>
        <w:rPr>
          <w:rFonts w:hint="eastAsia" w:ascii="宋体" w:hAnsi="宋体"/>
          <w:b/>
          <w:bCs/>
          <w:color w:val="auto"/>
          <w:sz w:val="44"/>
          <w:szCs w:val="44"/>
          <w:highlight w:val="none"/>
          <w:lang w:eastAsia="zh-CN"/>
        </w:rPr>
      </w:pPr>
      <w:r>
        <w:rPr>
          <w:rFonts w:hint="eastAsia" w:ascii="宋体" w:hAnsi="宋体"/>
          <w:b/>
          <w:bCs/>
          <w:color w:val="auto"/>
          <w:sz w:val="44"/>
          <w:szCs w:val="44"/>
          <w:highlight w:val="none"/>
          <w:lang w:val="en-US" w:eastAsia="zh-CN"/>
        </w:rPr>
        <w:t>同</w:t>
      </w:r>
    </w:p>
    <w:p>
      <w:pPr>
        <w:spacing w:line="520" w:lineRule="exact"/>
        <w:rPr>
          <w:rFonts w:hint="eastAsia" w:ascii="宋体" w:hAnsi="宋体"/>
          <w:b/>
          <w:bCs w:val="0"/>
          <w:color w:val="auto"/>
          <w:sz w:val="32"/>
          <w:szCs w:val="32"/>
          <w:highlight w:val="none"/>
          <w:lang w:val="en-US" w:eastAsia="zh-CN"/>
        </w:rPr>
      </w:pP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委托方（甲方）：  </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受托方（乙方）： </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签 订 时 间：  </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签 订 地 点：</w:t>
      </w:r>
    </w:p>
    <w:p>
      <w:pPr>
        <w:spacing w:line="520" w:lineRule="exact"/>
        <w:ind w:firstLine="643" w:firstLineChars="200"/>
        <w:rPr>
          <w:rFonts w:hint="eastAsia" w:ascii="宋体" w:hAnsi="宋体"/>
          <w:b/>
          <w:bCs w:val="0"/>
          <w:color w:val="auto"/>
          <w:sz w:val="32"/>
          <w:szCs w:val="32"/>
          <w:highlight w:val="none"/>
          <w:lang w:val="en-US" w:eastAsia="zh-CN"/>
        </w:rPr>
      </w:pPr>
      <w:r>
        <w:rPr>
          <w:rFonts w:hint="eastAsia" w:ascii="宋体" w:hAnsi="宋体"/>
          <w:b/>
          <w:bCs w:val="0"/>
          <w:color w:val="auto"/>
          <w:sz w:val="32"/>
          <w:szCs w:val="32"/>
          <w:highlight w:val="none"/>
          <w:lang w:val="en-US" w:eastAsia="zh-CN"/>
        </w:rPr>
        <w:t xml:space="preserve">有 效 期 限： </w:t>
      </w:r>
    </w:p>
    <w:p>
      <w:pPr>
        <w:pStyle w:val="32"/>
        <w:rPr>
          <w:rFonts w:hint="eastAsia"/>
          <w:color w:val="auto"/>
          <w:highlight w:val="none"/>
          <w:lang w:val="en-US" w:eastAsia="zh-CN"/>
        </w:rPr>
      </w:pPr>
    </w:p>
    <w:p>
      <w:pPr>
        <w:spacing w:line="520" w:lineRule="exact"/>
        <w:rPr>
          <w:rFonts w:hint="eastAsia" w:ascii="宋体" w:hAnsi="宋体"/>
          <w:bCs/>
          <w:color w:val="auto"/>
          <w:sz w:val="24"/>
          <w:highlight w:val="none"/>
          <w:lang w:val="en-US" w:eastAsia="zh-CN"/>
        </w:rPr>
      </w:pPr>
    </w:p>
    <w:p>
      <w:pPr>
        <w:rPr>
          <w:rFonts w:hint="eastAsia"/>
          <w:color w:val="auto"/>
          <w:highlight w:val="none"/>
          <w:lang w:val="en-US" w:eastAsia="zh-CN"/>
        </w:rPr>
      </w:pPr>
    </w:p>
    <w:p>
      <w:pPr>
        <w:pStyle w:val="2"/>
        <w:ind w:left="0" w:leftChars="0" w:firstLine="0" w:firstLineChars="0"/>
        <w:rPr>
          <w:rFonts w:hint="eastAsia" w:ascii="宋体" w:hAnsi="宋体"/>
          <w:bCs/>
          <w:color w:val="auto"/>
          <w:sz w:val="24"/>
          <w:highlight w:val="none"/>
          <w:lang w:val="en-US" w:eastAsia="zh-CN"/>
        </w:rPr>
      </w:pPr>
    </w:p>
    <w:p>
      <w:pPr>
        <w:rPr>
          <w:rFonts w:hint="eastAsia"/>
          <w:color w:val="auto"/>
          <w:highlight w:val="none"/>
          <w:lang w:val="en-US" w:eastAsia="zh-CN"/>
        </w:rPr>
      </w:pPr>
    </w:p>
    <w:p>
      <w:pPr>
        <w:pStyle w:val="6"/>
        <w:rPr>
          <w:rFonts w:hint="eastAsia"/>
          <w:color w:val="auto"/>
          <w:highlight w:val="none"/>
          <w:lang w:val="en-US" w:eastAsia="zh-CN"/>
        </w:rPr>
      </w:pP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第一条 甲方委托乙方进行技术服务的内容如下：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依据批复的《淠河防洪治理工程初步设计报告》、《淠河防洪治理工程环境影响报告书》及批复文件中提出的环境保护措施，开展环境保护监测及竣工验收技术服务工作。工作内容包括但不限于：①编制突发环境事故应急预案；②完成施工期环境监测、营运期环境监测、生态监测，提交各项监测报告；③提供竣工环境保护验收咨询服务，编制工程竣工环境保护验收调查报告，为工程竣工环保验收组的验收工作提供依据；④开展环保宣传教育培训。</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2、成果要求：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（1）编制《淠河防洪治理工程（霍山段）突发环境事故应急预案》。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根据淠河防洪治理工程（霍山段）的环境特征，分析确定工程施工期和运行期可能出现的主要环境风险，针对存在的风险进行风险评估，参照国家和地方有关环境风险应急预案编制规范要求，制定出切实可行的突出环境事故应急预案，通过业主单位组织的技术审查，并按规定上报地方生态环境部门备案。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（2）完成淠河防洪治理工程（霍山段）施工期环境监测、营运期环境监测、生态监测工作，提交《淠河防洪治理工程（霍山段）各环境监测报告》。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根据批复的《淠河防洪治理工程初步设计报告》、《淠河防洪治理工程环境影响报告书》中环境监测的监测点位和频次要求，自行开展或委托具有省部级质量技术监督部门颁发的《检验检测机构资质认定证书》（CMA）的单位对施工及影响区域的地表水环境、大气环境、声环境、人群健康等进行监测，对营运期环境及生态等进行监测，并提交各阶段监测报告。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（3）完成淠河防洪治理工程（霍山段）竣工环境保护验收调查工作，提交《淠河防洪治理工程（霍山段）竣工环境保护验收调查报告书》。</w:t>
      </w:r>
    </w:p>
    <w:p>
      <w:pPr>
        <w:numPr>
          <w:ilvl w:val="0"/>
          <w:numId w:val="0"/>
        </w:num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根据本工程建设范围、内容及对区域环境影响特征情况和生态环境部《建设项目竣工环境保护验收暂行办法》《建设项目竣工环境保护验收技术规范-生态影响类》（HJ394-2007）、《建设项目竣工环境保护验收技术规范-水利水电》（HJ464-2009）要求，对照本工程环境影响报告表提出的各项环保措施和环评批复要求开展全面调查，编制工程竣工环境保护验收调查报告，并通过建设单位组织成立的验收工作组验收。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（4）开展环保宣传教育培训：</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对工程建管、施工、监理等参建单位，开展环境保护宣传教育培训，宣贯生态环境保护政策，解读环评文件及批复提出的各项环境保护措施，介绍竣工环境保护验收工作内容及要求。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第二条 乙方应按下列要求完成技术工作：</w:t>
      </w:r>
      <w:r>
        <w:rPr>
          <w:rFonts w:hint="eastAsia" w:ascii="宋体" w:hAnsi="宋体"/>
          <w:bCs/>
          <w:color w:val="auto"/>
          <w:sz w:val="24"/>
          <w:highlight w:val="none"/>
          <w:lang w:val="en-US" w:eastAsia="zh-CN"/>
        </w:rPr>
        <w:t xml:space="preserve">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1、技术服务地点：霍山县。 </w:t>
      </w:r>
    </w:p>
    <w:p>
      <w:pPr>
        <w:spacing w:line="520" w:lineRule="exact"/>
        <w:ind w:firstLine="480" w:firstLineChars="200"/>
        <w:rPr>
          <w:rFonts w:hint="eastAsia" w:ascii="宋体" w:hAnsi="宋体"/>
          <w:bCs/>
          <w:color w:val="auto"/>
          <w:sz w:val="24"/>
          <w:highlight w:val="none"/>
          <w:u w:val="none"/>
          <w:lang w:val="en-US" w:eastAsia="zh-CN"/>
        </w:rPr>
      </w:pPr>
      <w:r>
        <w:rPr>
          <w:rFonts w:hint="eastAsia" w:ascii="宋体" w:hAnsi="宋体"/>
          <w:bCs/>
          <w:color w:val="auto"/>
          <w:sz w:val="24"/>
          <w:highlight w:val="none"/>
          <w:lang w:val="en-US" w:eastAsia="zh-CN"/>
        </w:rPr>
        <w:t>2、项目负责人：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 xml:space="preserve">。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3、技术服务进度、期限：按工作需要进度开展监测工作；自合同签订之日起至工程通过竣工验收止。</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4、人员及设备要求：按响应文件承诺执行。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5、提供技术服务成果形式和成果报告份数：按照验收工作需要和业主要求提供。 </w:t>
      </w: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第三条 为保证乙方有效进行技术服务工作，甲方应当向乙方提供下列工作条件和协作事项：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1、提供技术资料：工程初步设计报告、环评报告、批复文件及相关技术要求文件等。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2、提供工作条件：提供现场环境监测和验收服务工作的支持配合。</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第四条 </w:t>
      </w:r>
      <w:r>
        <w:rPr>
          <w:rFonts w:hint="eastAsia" w:ascii="宋体" w:hAnsi="宋体"/>
          <w:bCs/>
          <w:color w:val="auto"/>
          <w:sz w:val="24"/>
          <w:highlight w:val="none"/>
          <w:lang w:val="en-US" w:eastAsia="zh-CN"/>
        </w:rPr>
        <w:t xml:space="preserve">双方确定本合同有效期内，乙方利用甲方提供的技术资料和工作条件所完的新的技术成果，归甲、乙双方所有。 </w:t>
      </w: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第五条 双方确定，按以下约定承担各自的违约责任：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1、由于甲方原因未能及时对工程项目延误的，责任由甲方承担。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2、由于乙方原因未能及时提供环境监测及验收服务的而影响工程进度的，则乙方应承担由此造成的一切经济损失。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3、乙方须严格按照设计图纸、相关技术规范、标准等，编制切实可行的服务方案报甲方及项目质监部门审批，并按审批后的方案认真开展监测及验收服务工作。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4、乙方应定期向甲方汇报月度监测内容及下一步工作安排，同时要服从甲方的协调与安排，及时完成甲方临时指派的其他监测任务。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5、乙方现场监测取样必须由专职人员采取，监测数量及频率按照国家相关技术规范的规定取定。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6、乙方应派员实时跟踪监测，监测结果要第一时间以书面形式快报给甲方及监理，以确保施工工序正常开展及工期安排的总体需要。若经甲方催促后仍未提交的，每逾期一日支付违约金500元，逾期达15日的，甲方有权解除合同。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7、乙方须保证出具的试验监测数据能够准确、及时、真实的反映工程实体质量，并对本公司出具的所有试验报告负法律责任。如发现有弄虚作假行为，乙方按5万元/次支付违约金，性质恶劣的招标人有权终止合同并拒付监测费用。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8、未经甲方同意，乙方不得擅自更换人员，否则甲方有权终止合同，由此造成的损失由乙方承担，并赔偿可能给甲方造成的损失。如确需更换，应提前 20 天报告甲方，经同意后方可更换，更换后人员的资格、阅历及经验不得低于更换前的，同时按 2 万元/人•次支付违约金。</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第六条 </w:t>
      </w:r>
      <w:r>
        <w:rPr>
          <w:rFonts w:hint="eastAsia" w:ascii="宋体" w:hAnsi="宋体"/>
          <w:bCs/>
          <w:color w:val="auto"/>
          <w:sz w:val="24"/>
          <w:highlight w:val="none"/>
          <w:lang w:val="en-US" w:eastAsia="zh-CN"/>
        </w:rPr>
        <w:t xml:space="preserve">双方因履行本合同而发生的争议，应协商、调解解决。协商调解不成的，可提交仲裁委员会仲裁或依法向人民法院起诉。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第七条</w:t>
      </w:r>
      <w:r>
        <w:rPr>
          <w:rFonts w:hint="eastAsia" w:ascii="宋体" w:hAnsi="宋体"/>
          <w:bCs/>
          <w:color w:val="auto"/>
          <w:sz w:val="24"/>
          <w:highlight w:val="none"/>
          <w:lang w:val="en-US" w:eastAsia="zh-CN"/>
        </w:rPr>
        <w:t xml:space="preserve"> 与履行本合同有关的技术文件，经双方以签字方式确认后，为本合同的组成部分。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1、技术资料、标准和规范：执行国家、地方和行业最新的标准和规范。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2、原始设计和工艺文件：经批复的工程初步设计报告、环评报告及相关批复文件。</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第八条 </w:t>
      </w:r>
      <w:r>
        <w:rPr>
          <w:rFonts w:hint="eastAsia" w:ascii="宋体" w:hAnsi="宋体"/>
          <w:bCs/>
          <w:color w:val="auto"/>
          <w:sz w:val="24"/>
          <w:highlight w:val="none"/>
          <w:lang w:val="en-US" w:eastAsia="zh-CN"/>
        </w:rPr>
        <w:t xml:space="preserve">双方约定本合同其他相关事项（如：保密、成果验收）为：成果验收 。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第九条</w:t>
      </w:r>
      <w:r>
        <w:rPr>
          <w:rFonts w:hint="eastAsia" w:ascii="宋体" w:hAnsi="宋体"/>
          <w:bCs/>
          <w:color w:val="auto"/>
          <w:sz w:val="24"/>
          <w:highlight w:val="none"/>
          <w:lang w:val="en-US" w:eastAsia="zh-CN"/>
        </w:rPr>
        <w:t xml:space="preserve"> 甲方向乙方支付技术服务报酬及支付方式为：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1、技术服务费为：</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lang w:val="en-US" w:eastAsia="zh-CN"/>
        </w:rPr>
        <w:t xml:space="preserve">（总价承包）。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2、技术服务费由甲方分期 （一次或分期）支付乙方。具体支付时间和方式为：按照完成监测任务量金额占合同约定的总任务量金额比例按年度支付，在环境保护专项验收报告通过主管部门备案后付至合同额的90%，工程竣工验收后付清余款。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3、履约保证金（履约担保）：签订合同前缴纳合同额的</w:t>
      </w:r>
      <w:r>
        <w:rPr>
          <w:rFonts w:hint="eastAsia" w:ascii="宋体" w:hAnsi="宋体"/>
          <w:bCs/>
          <w:color w:val="auto"/>
          <w:sz w:val="24"/>
          <w:highlight w:val="none"/>
          <w:u w:val="single"/>
          <w:lang w:val="en-US" w:eastAsia="zh-CN"/>
        </w:rPr>
        <w:t xml:space="preserve"> 2% </w:t>
      </w:r>
      <w:r>
        <w:rPr>
          <w:rFonts w:hint="eastAsia" w:ascii="宋体" w:hAnsi="宋体"/>
          <w:bCs/>
          <w:color w:val="auto"/>
          <w:sz w:val="24"/>
          <w:highlight w:val="none"/>
          <w:lang w:val="en-US" w:eastAsia="zh-CN"/>
        </w:rPr>
        <w:t xml:space="preserve">的履约保证金，在合同工程竣工验收后，委托单位在受托单位提出申请后将履约保证金退还给受托单位。 </w:t>
      </w:r>
    </w:p>
    <w:p>
      <w:pPr>
        <w:spacing w:line="520" w:lineRule="exact"/>
        <w:ind w:firstLine="482" w:firstLineChars="200"/>
        <w:rPr>
          <w:rFonts w:hint="eastAsia" w:ascii="宋体" w:hAnsi="宋体"/>
          <w:b/>
          <w:bCs w:val="0"/>
          <w:color w:val="auto"/>
          <w:sz w:val="24"/>
          <w:highlight w:val="none"/>
          <w:lang w:val="en-US" w:eastAsia="zh-CN"/>
        </w:rPr>
      </w:pPr>
      <w:r>
        <w:rPr>
          <w:rFonts w:hint="eastAsia" w:ascii="宋体" w:hAnsi="宋体"/>
          <w:b/>
          <w:bCs w:val="0"/>
          <w:color w:val="auto"/>
          <w:sz w:val="24"/>
          <w:highlight w:val="none"/>
          <w:lang w:val="en-US" w:eastAsia="zh-CN"/>
        </w:rPr>
        <w:t xml:space="preserve">第十条 其他约定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1、本次招标内容为淠河防洪治理工程（霍山段）环境保护监测及验收服务。工作内容包含工程变更项目，费用不调整。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2、监测活动必须由甲方或监理人全程见证，否则监测结果甲方有权认定为无效评价。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3、乙方要根据现场特点，加强现场安全管理，造成一切不良后果或人身伤害由乙方自行承担，并需赔偿可能给甲方造成的损失。对于人员在工程现场工作中发生的工伤事故，由乙方按国家及地方政府主管部门有关规定和要求进行分析和处理。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4、甲方有权要求对关键部位取样的样品备存一份随机选取抽查，如发现乙方出具虚假数据，甲方报请公共资源交易监督管理局对乙方记失信行为。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第十一条 </w:t>
      </w:r>
      <w:r>
        <w:rPr>
          <w:rFonts w:hint="eastAsia" w:ascii="宋体" w:hAnsi="宋体"/>
          <w:bCs/>
          <w:color w:val="auto"/>
          <w:sz w:val="24"/>
          <w:highlight w:val="none"/>
          <w:lang w:val="en-US" w:eastAsia="zh-CN"/>
        </w:rPr>
        <w:t xml:space="preserve">本合同的变更，必须由双方协商一致，以书面形式确定。 </w:t>
      </w:r>
    </w:p>
    <w:p>
      <w:pPr>
        <w:spacing w:line="520" w:lineRule="exact"/>
        <w:ind w:firstLine="482" w:firstLineChars="200"/>
        <w:rPr>
          <w:rFonts w:hint="eastAsia" w:ascii="宋体" w:hAnsi="宋体"/>
          <w:bCs/>
          <w:color w:val="auto"/>
          <w:sz w:val="24"/>
          <w:highlight w:val="none"/>
          <w:lang w:val="en-US" w:eastAsia="zh-CN"/>
        </w:rPr>
      </w:pPr>
      <w:r>
        <w:rPr>
          <w:rFonts w:hint="eastAsia" w:ascii="宋体" w:hAnsi="宋体"/>
          <w:b/>
          <w:bCs w:val="0"/>
          <w:color w:val="auto"/>
          <w:sz w:val="24"/>
          <w:highlight w:val="none"/>
          <w:lang w:val="en-US" w:eastAsia="zh-CN"/>
        </w:rPr>
        <w:t xml:space="preserve">第十二条 </w:t>
      </w:r>
      <w:r>
        <w:rPr>
          <w:rFonts w:hint="eastAsia" w:ascii="宋体" w:hAnsi="宋体"/>
          <w:bCs/>
          <w:color w:val="auto"/>
          <w:sz w:val="24"/>
          <w:highlight w:val="none"/>
          <w:lang w:val="en-US" w:eastAsia="zh-CN"/>
        </w:rPr>
        <w:t>本合同壹式 陆 份，双方各执 叁 份，具有同等法律效力，经双方签字盖章后生效。</w:t>
      </w: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甲 方： （盖章）                        乙 方： （盖章） </w:t>
      </w: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法定代表人（委托代理人）:               法定代表人（委托代理人）： </w:t>
      </w:r>
    </w:p>
    <w:p>
      <w:pPr>
        <w:spacing w:line="520" w:lineRule="exact"/>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通讯地址：                              通讯地址：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联系电话：                              联系电话：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开户银行：                              开户银行： </w:t>
      </w:r>
    </w:p>
    <w:p>
      <w:pPr>
        <w:spacing w:line="520" w:lineRule="exact"/>
        <w:ind w:firstLine="480" w:firstLineChars="200"/>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银行帐号：                              银行帐号： </w:t>
      </w:r>
    </w:p>
    <w:p>
      <w:pPr>
        <w:spacing w:line="520" w:lineRule="exact"/>
        <w:ind w:firstLine="480" w:firstLineChars="200"/>
        <w:jc w:val="left"/>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 xml:space="preserve">签订时间：2024年  月  日                签订时间：2024年  月  日     </w:t>
      </w:r>
    </w:p>
    <w:p>
      <w:pPr>
        <w:spacing w:line="520" w:lineRule="exact"/>
        <w:ind w:firstLine="482" w:firstLineChars="200"/>
        <w:jc w:val="left"/>
        <w:rPr>
          <w:rFonts w:hint="eastAsia" w:ascii="宋体" w:hAnsi="宋体" w:eastAsia="宋体"/>
          <w:b/>
          <w:bCs w:val="0"/>
          <w:color w:val="auto"/>
          <w:sz w:val="24"/>
          <w:highlight w:val="none"/>
          <w:lang w:val="en-US" w:eastAsia="zh-CN"/>
        </w:rPr>
      </w:pPr>
    </w:p>
    <w:p>
      <w:pPr>
        <w:spacing w:line="520" w:lineRule="exact"/>
        <w:ind w:firstLine="482" w:firstLineChars="200"/>
        <w:jc w:val="left"/>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 xml:space="preserve">注：本合同范本仅为参考，若有变动，需经双方在国家相关法律法规范围内进行适当 </w:t>
      </w:r>
    </w:p>
    <w:p>
      <w:pPr>
        <w:spacing w:line="520" w:lineRule="exact"/>
        <w:rPr>
          <w:rFonts w:hint="eastAsia" w:ascii="宋体" w:hAnsi="宋体"/>
          <w:bCs/>
          <w:color w:val="auto"/>
          <w:sz w:val="24"/>
          <w:highlight w:val="none"/>
          <w:lang w:val="en-US" w:eastAsia="zh-CN"/>
        </w:rPr>
      </w:pPr>
      <w:r>
        <w:rPr>
          <w:rFonts w:hint="eastAsia" w:ascii="宋体" w:hAnsi="宋体" w:eastAsia="宋体"/>
          <w:b/>
          <w:bCs w:val="0"/>
          <w:color w:val="auto"/>
          <w:sz w:val="24"/>
          <w:highlight w:val="none"/>
          <w:lang w:val="en-US" w:eastAsia="zh-CN"/>
        </w:rPr>
        <w:t>补充和完善。</w:t>
      </w:r>
      <w:r>
        <w:rPr>
          <w:rFonts w:hint="eastAsia" w:ascii="宋体" w:hAnsi="宋体"/>
          <w:bCs/>
          <w:color w:val="auto"/>
          <w:sz w:val="24"/>
          <w:highlight w:val="none"/>
          <w:lang w:val="en-US" w:eastAsia="zh-CN"/>
        </w:rPr>
        <w:br w:type="page"/>
      </w:r>
    </w:p>
    <w:p>
      <w:pPr>
        <w:pStyle w:val="8"/>
        <w:numPr>
          <w:ilvl w:val="0"/>
          <w:numId w:val="4"/>
        </w:numPr>
        <w:spacing w:before="0" w:after="0" w:line="560" w:lineRule="exact"/>
        <w:jc w:val="center"/>
        <w:rPr>
          <w:rFonts w:ascii="宋体" w:hAnsi="宋体" w:eastAsia="宋体" w:cs="宋体"/>
          <w:color w:val="auto"/>
          <w:sz w:val="28"/>
          <w:szCs w:val="28"/>
          <w:highlight w:val="none"/>
        </w:rPr>
      </w:pPr>
      <w:bookmarkStart w:id="73" w:name="_Toc17199"/>
      <w:r>
        <w:rPr>
          <w:rFonts w:hint="eastAsia" w:ascii="宋体" w:hAnsi="宋体" w:eastAsia="宋体" w:cs="宋体"/>
          <w:color w:val="auto"/>
          <w:sz w:val="28"/>
          <w:szCs w:val="28"/>
          <w:highlight w:val="none"/>
        </w:rPr>
        <w:t>采购需求</w:t>
      </w:r>
      <w:bookmarkEnd w:id="73"/>
    </w:p>
    <w:p>
      <w:pPr>
        <w:spacing w:line="520" w:lineRule="exact"/>
        <w:ind w:firstLine="480" w:firstLineChars="200"/>
        <w:rPr>
          <w:rFonts w:hint="eastAsia" w:ascii="宋体" w:hAnsi="宋体"/>
          <w:bCs/>
          <w:color w:val="auto"/>
          <w:sz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41" w:firstLineChars="100"/>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详见</w:t>
      </w: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采购合同</w:t>
      </w:r>
      <w:r>
        <w:rPr>
          <w:rFonts w:hint="eastAsia" w:ascii="宋体" w:hAnsi="宋体" w:cs="宋体"/>
          <w:b/>
          <w:bCs/>
          <w:color w:val="auto"/>
          <w:kern w:val="0"/>
          <w:sz w:val="24"/>
          <w:szCs w:val="24"/>
          <w:highlight w:val="none"/>
          <w:lang w:val="en-US" w:eastAsia="zh-CN" w:bidi="ar"/>
        </w:rPr>
        <w:t>”</w:t>
      </w:r>
      <w:r>
        <w:rPr>
          <w:rFonts w:hint="eastAsia" w:ascii="宋体" w:hAnsi="宋体" w:eastAsia="宋体" w:cs="宋体"/>
          <w:b/>
          <w:bCs/>
          <w:color w:val="auto"/>
          <w:kern w:val="0"/>
          <w:sz w:val="24"/>
          <w:szCs w:val="24"/>
          <w:highlight w:val="none"/>
          <w:lang w:val="en-US" w:eastAsia="zh-CN" w:bidi="ar"/>
        </w:rPr>
        <w:t>及</w:t>
      </w:r>
      <w:r>
        <w:rPr>
          <w:rFonts w:hint="eastAsia" w:ascii="宋体" w:hAnsi="宋体" w:cs="宋体"/>
          <w:b/>
          <w:bCs/>
          <w:color w:val="auto"/>
          <w:kern w:val="0"/>
          <w:sz w:val="24"/>
          <w:szCs w:val="24"/>
          <w:highlight w:val="none"/>
          <w:lang w:val="en-US" w:eastAsia="zh-CN" w:bidi="ar"/>
        </w:rPr>
        <w:t>经批复的</w:t>
      </w:r>
      <w:r>
        <w:rPr>
          <w:rFonts w:hint="eastAsia" w:ascii="宋体" w:hAnsi="宋体" w:eastAsia="宋体" w:cs="宋体"/>
          <w:b/>
          <w:bCs/>
          <w:color w:val="auto"/>
          <w:kern w:val="0"/>
          <w:sz w:val="24"/>
          <w:szCs w:val="24"/>
          <w:highlight w:val="none"/>
          <w:lang w:val="en-US" w:eastAsia="zh-CN" w:bidi="ar"/>
        </w:rPr>
        <w:t>《淠河防洪治理工程环境影响报告书》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41" w:firstLineChars="100"/>
        <w:jc w:val="center"/>
        <w:textAlignment w:val="auto"/>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中相关内容</w:t>
      </w: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spacing w:line="520" w:lineRule="exact"/>
        <w:ind w:firstLine="480" w:firstLineChars="200"/>
        <w:rPr>
          <w:rFonts w:hint="eastAsia" w:ascii="宋体" w:hAnsi="宋体"/>
          <w:bCs/>
          <w:color w:val="auto"/>
          <w:sz w:val="24"/>
          <w:highlight w:val="none"/>
          <w:lang w:val="en-US" w:eastAsia="zh-CN"/>
        </w:rPr>
      </w:pPr>
    </w:p>
    <w:p>
      <w:pPr>
        <w:pStyle w:val="32"/>
        <w:rPr>
          <w:rFonts w:hint="eastAsia" w:ascii="宋体" w:hAnsi="宋体"/>
          <w:bCs/>
          <w:color w:val="auto"/>
          <w:sz w:val="24"/>
          <w:highlight w:val="none"/>
          <w:lang w:val="en-US" w:eastAsia="zh-CN"/>
        </w:rPr>
      </w:pPr>
    </w:p>
    <w:p>
      <w:pPr>
        <w:pStyle w:val="32"/>
        <w:rPr>
          <w:rFonts w:hint="eastAsia" w:ascii="宋体" w:hAnsi="宋体"/>
          <w:bCs/>
          <w:color w:val="auto"/>
          <w:sz w:val="24"/>
          <w:highlight w:val="none"/>
          <w:lang w:val="en-US" w:eastAsia="zh-CN"/>
        </w:rPr>
      </w:pPr>
    </w:p>
    <w:p>
      <w:pPr>
        <w:pStyle w:val="32"/>
        <w:rPr>
          <w:rFonts w:hint="eastAsia" w:ascii="宋体" w:hAnsi="宋体"/>
          <w:bCs/>
          <w:color w:val="auto"/>
          <w:sz w:val="24"/>
          <w:highlight w:val="none"/>
          <w:lang w:val="en-US" w:eastAsia="zh-CN"/>
        </w:rPr>
      </w:pPr>
    </w:p>
    <w:p>
      <w:pPr>
        <w:pStyle w:val="32"/>
        <w:rPr>
          <w:rFonts w:hint="eastAsia" w:ascii="宋体" w:hAnsi="宋体"/>
          <w:bCs/>
          <w:color w:val="auto"/>
          <w:sz w:val="24"/>
          <w:highlight w:val="none"/>
          <w:lang w:val="en-US" w:eastAsia="zh-CN"/>
        </w:rPr>
      </w:pPr>
    </w:p>
    <w:p>
      <w:pPr>
        <w:pStyle w:val="32"/>
        <w:rPr>
          <w:rFonts w:hint="eastAsia" w:ascii="宋体" w:hAnsi="宋体"/>
          <w:bCs/>
          <w:color w:val="auto"/>
          <w:sz w:val="24"/>
          <w:highlight w:val="none"/>
          <w:lang w:val="en-US" w:eastAsia="zh-CN"/>
        </w:rPr>
      </w:pPr>
    </w:p>
    <w:p>
      <w:pPr>
        <w:pStyle w:val="32"/>
        <w:rPr>
          <w:rFonts w:hint="eastAsia" w:ascii="宋体" w:hAnsi="宋体"/>
          <w:bCs/>
          <w:color w:val="auto"/>
          <w:sz w:val="24"/>
          <w:highlight w:val="none"/>
          <w:lang w:val="en-US" w:eastAsia="zh-CN"/>
        </w:rPr>
      </w:pPr>
    </w:p>
    <w:bookmarkEnd w:id="72"/>
    <w:p>
      <w:pPr>
        <w:jc w:val="center"/>
        <w:rPr>
          <w:rFonts w:ascii="宋体" w:hAnsi="宋体" w:eastAsia="宋体" w:cs="宋体"/>
          <w:b/>
          <w:bCs/>
          <w:color w:val="auto"/>
          <w:highlight w:val="none"/>
        </w:rPr>
      </w:pPr>
      <w:bookmarkStart w:id="74" w:name="_Toc21831"/>
      <w:bookmarkStart w:id="75" w:name="_Toc25911"/>
      <w:bookmarkStart w:id="76" w:name="_Toc19815"/>
      <w:r>
        <w:rPr>
          <w:rFonts w:hint="eastAsia" w:ascii="宋体" w:hAnsi="宋体" w:eastAsia="宋体" w:cs="宋体"/>
          <w:b/>
          <w:bCs/>
          <w:color w:val="auto"/>
          <w:sz w:val="28"/>
          <w:szCs w:val="28"/>
          <w:highlight w:val="none"/>
        </w:rPr>
        <w:t>四、评分标准</w:t>
      </w:r>
      <w:bookmarkEnd w:id="74"/>
      <w:bookmarkEnd w:id="75"/>
      <w:bookmarkEnd w:id="76"/>
    </w:p>
    <w:p>
      <w:pPr>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1、本次磋商采用百分制评分法，商务（报价）权重</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%，经评审满足磋商文件要求且最后报价最低的供应商的价格为磋商基准价，其价格为满分，得</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rPr>
        <w:t>分。其他供应商的价格分统一按照下列公式计算：</w:t>
      </w:r>
    </w:p>
    <w:p>
      <w:pPr>
        <w:spacing w:line="48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磋商报价得分=（磋商基准价/最后磋商报价）×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%×100。</w:t>
      </w:r>
    </w:p>
    <w:p>
      <w:pPr>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注：超过最高限</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最后磋商</w:t>
      </w:r>
      <w:r>
        <w:rPr>
          <w:rFonts w:hint="eastAsia" w:ascii="宋体" w:hAnsi="宋体" w:cs="宋体"/>
          <w:color w:val="auto"/>
          <w:sz w:val="24"/>
          <w:szCs w:val="24"/>
          <w:highlight w:val="none"/>
        </w:rPr>
        <w:t>报价为无效报价，按废标处理。</w:t>
      </w:r>
    </w:p>
    <w:p>
      <w:pPr>
        <w:spacing w:before="273" w:line="220" w:lineRule="auto"/>
        <w:jc w:val="left"/>
        <w:rPr>
          <w:rFonts w:ascii="宋体" w:hAnsi="宋体" w:eastAsia="宋体" w:cs="宋体"/>
          <w:color w:val="auto"/>
          <w:sz w:val="31"/>
          <w:szCs w:val="31"/>
          <w:highlight w:val="none"/>
        </w:rPr>
      </w:pPr>
      <w:r>
        <w:rPr>
          <w:rFonts w:hint="eastAsia" w:ascii="宋体" w:hAnsi="宋体" w:eastAsia="宋体" w:cs="宋体"/>
          <w:color w:val="auto"/>
          <w:sz w:val="24"/>
          <w:szCs w:val="24"/>
          <w:highlight w:val="none"/>
        </w:rPr>
        <w:t>具体评分细则如下：</w:t>
      </w:r>
    </w:p>
    <w:tbl>
      <w:tblPr>
        <w:tblStyle w:val="110"/>
        <w:tblW w:w="9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126"/>
        <w:gridCol w:w="719"/>
        <w:gridCol w:w="4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21" w:type="dxa"/>
            <w:vAlign w:val="top"/>
          </w:tcPr>
          <w:p>
            <w:pPr>
              <w:pStyle w:val="118"/>
              <w:spacing w:before="262" w:line="222" w:lineRule="auto"/>
              <w:ind w:left="204"/>
              <w:rPr>
                <w:color w:val="auto"/>
                <w:highlight w:val="none"/>
              </w:rPr>
            </w:pPr>
            <w:r>
              <w:rPr>
                <w:color w:val="auto"/>
                <w:spacing w:val="-2"/>
                <w:highlight w:val="none"/>
                <w14:textOutline w14:w="3831" w14:cap="flat" w14:cmpd="sng">
                  <w14:solidFill>
                    <w14:srgbClr w14:val="000000"/>
                  </w14:solidFill>
                  <w14:prstDash w14:val="solid"/>
                  <w14:miter w14:val="0"/>
                </w14:textOutline>
              </w:rPr>
              <w:t>序号</w:t>
            </w:r>
          </w:p>
        </w:tc>
        <w:tc>
          <w:tcPr>
            <w:tcW w:w="3126" w:type="dxa"/>
            <w:vAlign w:val="top"/>
          </w:tcPr>
          <w:p>
            <w:pPr>
              <w:pStyle w:val="118"/>
              <w:spacing w:before="261" w:line="221" w:lineRule="auto"/>
              <w:ind w:left="1144"/>
              <w:rPr>
                <w:color w:val="auto"/>
                <w:highlight w:val="none"/>
              </w:rPr>
            </w:pPr>
            <w:r>
              <w:rPr>
                <w:color w:val="auto"/>
                <w:spacing w:val="-1"/>
                <w:highlight w:val="none"/>
                <w14:textOutline w14:w="3831" w14:cap="flat" w14:cmpd="sng">
                  <w14:solidFill>
                    <w14:srgbClr w14:val="000000"/>
                  </w14:solidFill>
                  <w14:prstDash w14:val="solid"/>
                  <w14:miter w14:val="0"/>
                </w14:textOutline>
              </w:rPr>
              <w:t>评分要素</w:t>
            </w:r>
          </w:p>
        </w:tc>
        <w:tc>
          <w:tcPr>
            <w:tcW w:w="719" w:type="dxa"/>
            <w:vAlign w:val="top"/>
          </w:tcPr>
          <w:p>
            <w:pPr>
              <w:pStyle w:val="118"/>
              <w:spacing w:before="261" w:line="221" w:lineRule="auto"/>
              <w:ind w:left="156"/>
              <w:rPr>
                <w:color w:val="auto"/>
                <w:highlight w:val="none"/>
              </w:rPr>
            </w:pPr>
            <w:r>
              <w:rPr>
                <w:color w:val="auto"/>
                <w:spacing w:val="-3"/>
                <w:highlight w:val="none"/>
              </w:rPr>
              <w:t>分值</w:t>
            </w:r>
          </w:p>
        </w:tc>
        <w:tc>
          <w:tcPr>
            <w:tcW w:w="4803" w:type="dxa"/>
            <w:vAlign w:val="top"/>
          </w:tcPr>
          <w:p>
            <w:pPr>
              <w:pStyle w:val="118"/>
              <w:spacing w:before="262" w:line="221" w:lineRule="auto"/>
              <w:ind w:left="1774"/>
              <w:rPr>
                <w:color w:val="auto"/>
                <w:highlight w:val="none"/>
              </w:rPr>
            </w:pPr>
            <w:r>
              <w:rPr>
                <w:color w:val="auto"/>
                <w:spacing w:val="-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1" w:type="dxa"/>
            <w:vAlign w:val="top"/>
          </w:tcPr>
          <w:p>
            <w:pPr>
              <w:pStyle w:val="118"/>
              <w:spacing w:before="165" w:line="226" w:lineRule="auto"/>
              <w:ind w:left="158" w:right="158" w:firstLine="43"/>
              <w:jc w:val="center"/>
              <w:rPr>
                <w:rFonts w:hint="eastAsia" w:eastAsia="宋体"/>
                <w:color w:val="auto"/>
                <w:highlight w:val="none"/>
                <w:lang w:eastAsia="zh-CN"/>
              </w:rPr>
            </w:pPr>
            <w:r>
              <w:rPr>
                <w:rFonts w:hint="eastAsia" w:ascii="Times New Roman" w:hAnsi="Times New Roman" w:cs="Times New Roman"/>
                <w:b/>
                <w:bCs/>
                <w:color w:val="auto"/>
                <w:spacing w:val="-1"/>
                <w:highlight w:val="none"/>
                <w:lang w:val="en-US" w:eastAsia="zh-CN"/>
              </w:rPr>
              <w:t>一</w:t>
            </w:r>
          </w:p>
        </w:tc>
        <w:tc>
          <w:tcPr>
            <w:tcW w:w="3126" w:type="dxa"/>
            <w:vAlign w:val="top"/>
          </w:tcPr>
          <w:p>
            <w:pPr>
              <w:pStyle w:val="118"/>
              <w:spacing w:before="262" w:line="221" w:lineRule="auto"/>
              <w:ind w:left="1154"/>
              <w:rPr>
                <w:color w:val="auto"/>
                <w:highlight w:val="none"/>
              </w:rPr>
            </w:pPr>
            <w:r>
              <w:rPr>
                <w:color w:val="auto"/>
                <w:spacing w:val="-3"/>
                <w:highlight w:val="none"/>
                <w14:textOutline w14:w="3831" w14:cap="flat" w14:cmpd="sng">
                  <w14:solidFill>
                    <w14:srgbClr w14:val="000000"/>
                  </w14:solidFill>
                  <w14:prstDash w14:val="solid"/>
                  <w14:miter w14:val="0"/>
                </w14:textOutline>
              </w:rPr>
              <w:t>资信业绩</w:t>
            </w:r>
          </w:p>
        </w:tc>
        <w:tc>
          <w:tcPr>
            <w:tcW w:w="719" w:type="dxa"/>
            <w:vAlign w:val="top"/>
          </w:tcPr>
          <w:p>
            <w:pPr>
              <w:spacing w:before="301" w:line="187" w:lineRule="auto"/>
              <w:ind w:left="254"/>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1"/>
                <w:sz w:val="21"/>
                <w:szCs w:val="21"/>
                <w:highlight w:val="none"/>
              </w:rPr>
              <w:t>38</w:t>
            </w:r>
          </w:p>
        </w:tc>
        <w:tc>
          <w:tcPr>
            <w:tcW w:w="480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1" w:type="dxa"/>
            <w:vAlign w:val="top"/>
          </w:tcPr>
          <w:p>
            <w:pPr>
              <w:pStyle w:val="118"/>
              <w:spacing w:before="254" w:line="162" w:lineRule="exact"/>
              <w:ind w:left="314"/>
              <w:rPr>
                <w:rFonts w:hint="default" w:eastAsia="宋体"/>
                <w:color w:val="auto"/>
                <w:highlight w:val="none"/>
                <w:lang w:val="en-US" w:eastAsia="zh-CN"/>
              </w:rPr>
            </w:pPr>
            <w:r>
              <w:rPr>
                <w:rFonts w:hint="eastAsia"/>
                <w:color w:val="auto"/>
                <w:position w:val="-4"/>
                <w:highlight w:val="none"/>
                <w:lang w:val="en-US" w:eastAsia="zh-CN"/>
                <w14:textOutline w14:w="3831" w14:cap="flat" w14:cmpd="sng">
                  <w14:solidFill>
                    <w14:srgbClr w14:val="000000"/>
                  </w14:solidFill>
                  <w14:prstDash w14:val="solid"/>
                  <w14:miter w14:val="0"/>
                </w14:textOutline>
              </w:rPr>
              <w:t>1.1</w:t>
            </w:r>
          </w:p>
        </w:tc>
        <w:tc>
          <w:tcPr>
            <w:tcW w:w="3126" w:type="dxa"/>
            <w:vAlign w:val="top"/>
          </w:tcPr>
          <w:p>
            <w:pPr>
              <w:pStyle w:val="118"/>
              <w:spacing w:before="174" w:line="220" w:lineRule="auto"/>
              <w:ind w:left="1354"/>
              <w:rPr>
                <w:color w:val="auto"/>
                <w:highlight w:val="none"/>
              </w:rPr>
            </w:pPr>
            <w:r>
              <w:rPr>
                <w:color w:val="auto"/>
                <w:spacing w:val="-2"/>
                <w:highlight w:val="none"/>
                <w14:textOutline w14:w="3831" w14:cap="flat" w14:cmpd="sng">
                  <w14:solidFill>
                    <w14:srgbClr w14:val="000000"/>
                  </w14:solidFill>
                  <w14:prstDash w14:val="solid"/>
                  <w14:miter w14:val="0"/>
                </w14:textOutline>
              </w:rPr>
              <w:t>信誉</w:t>
            </w:r>
          </w:p>
        </w:tc>
        <w:tc>
          <w:tcPr>
            <w:tcW w:w="719" w:type="dxa"/>
            <w:vAlign w:val="top"/>
          </w:tcPr>
          <w:p>
            <w:pPr>
              <w:spacing w:before="213" w:line="187" w:lineRule="auto"/>
              <w:ind w:left="307"/>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z w:val="21"/>
                <w:szCs w:val="21"/>
                <w:highlight w:val="none"/>
              </w:rPr>
              <w:t>3</w:t>
            </w:r>
          </w:p>
        </w:tc>
        <w:tc>
          <w:tcPr>
            <w:tcW w:w="480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7" w:hRule="atLeast"/>
        </w:trPr>
        <w:tc>
          <w:tcPr>
            <w:tcW w:w="821" w:type="dxa"/>
            <w:vAlign w:val="top"/>
          </w:tcPr>
          <w:p>
            <w:pPr>
              <w:rPr>
                <w:rFonts w:hint="eastAsia" w:ascii="Arial"/>
                <w:color w:val="auto"/>
                <w:sz w:val="21"/>
                <w:highlight w:val="none"/>
                <w:lang w:val="en-US" w:eastAsia="zh-CN"/>
              </w:rPr>
            </w:pPr>
            <w:r>
              <w:rPr>
                <w:rFonts w:hint="eastAsia" w:ascii="Arial"/>
                <w:color w:val="auto"/>
                <w:sz w:val="21"/>
                <w:highlight w:val="none"/>
                <w:lang w:val="en-US" w:eastAsia="zh-CN"/>
              </w:rPr>
              <w:t xml:space="preserve">   </w:t>
            </w:r>
          </w:p>
          <w:p>
            <w:pPr>
              <w:rPr>
                <w:rFonts w:hint="eastAsia" w:ascii="Arial"/>
                <w:color w:val="auto"/>
                <w:sz w:val="21"/>
                <w:highlight w:val="none"/>
                <w:lang w:val="en-US" w:eastAsia="zh-CN"/>
              </w:rPr>
            </w:pPr>
          </w:p>
          <w:p>
            <w:pPr>
              <w:rPr>
                <w:rFonts w:hint="eastAsia" w:ascii="Arial"/>
                <w:color w:val="auto"/>
                <w:sz w:val="21"/>
                <w:highlight w:val="none"/>
                <w:lang w:val="en-US" w:eastAsia="zh-CN"/>
              </w:rPr>
            </w:pPr>
          </w:p>
          <w:p>
            <w:pPr>
              <w:rPr>
                <w:rFonts w:hint="eastAsia" w:ascii="Arial"/>
                <w:color w:val="auto"/>
                <w:sz w:val="21"/>
                <w:highlight w:val="none"/>
                <w:lang w:val="en-US" w:eastAsia="zh-CN"/>
              </w:rPr>
            </w:pPr>
          </w:p>
          <w:p>
            <w:pPr>
              <w:rPr>
                <w:rFonts w:hint="eastAsia" w:ascii="Arial"/>
                <w:color w:val="auto"/>
                <w:sz w:val="21"/>
                <w:highlight w:val="none"/>
                <w:lang w:val="en-US" w:eastAsia="zh-CN"/>
              </w:rPr>
            </w:pPr>
          </w:p>
          <w:p>
            <w:pPr>
              <w:rPr>
                <w:rFonts w:hint="default" w:ascii="Arial"/>
                <w:color w:val="auto"/>
                <w:sz w:val="21"/>
                <w:highlight w:val="none"/>
                <w:lang w:val="en-US" w:eastAsia="zh-CN"/>
              </w:rPr>
            </w:pPr>
            <w:r>
              <w:rPr>
                <w:rFonts w:hint="eastAsia" w:ascii="Arial"/>
                <w:color w:val="auto"/>
                <w:sz w:val="21"/>
                <w:highlight w:val="none"/>
                <w:lang w:val="en-US" w:eastAsia="zh-CN"/>
              </w:rPr>
              <w:t xml:space="preserve">   </w:t>
            </w:r>
          </w:p>
        </w:tc>
        <w:tc>
          <w:tcPr>
            <w:tcW w:w="3126" w:type="dxa"/>
            <w:vAlign w:val="top"/>
          </w:tcPr>
          <w:p>
            <w:pPr>
              <w:spacing w:line="255" w:lineRule="auto"/>
              <w:rPr>
                <w:rFonts w:ascii="Arial"/>
                <w:color w:val="auto"/>
                <w:sz w:val="21"/>
                <w:highlight w:val="none"/>
              </w:rPr>
            </w:pPr>
          </w:p>
          <w:p>
            <w:pPr>
              <w:spacing w:line="255"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pStyle w:val="118"/>
              <w:spacing w:before="68" w:line="222" w:lineRule="auto"/>
              <w:ind w:left="1145"/>
              <w:rPr>
                <w:color w:val="auto"/>
                <w:highlight w:val="none"/>
              </w:rPr>
            </w:pPr>
            <w:r>
              <w:rPr>
                <w:color w:val="auto"/>
                <w:spacing w:val="-2"/>
                <w:highlight w:val="none"/>
              </w:rPr>
              <w:t>体系认证</w:t>
            </w:r>
          </w:p>
        </w:tc>
        <w:tc>
          <w:tcPr>
            <w:tcW w:w="719" w:type="dxa"/>
            <w:vAlign w:val="top"/>
          </w:tcPr>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6" w:lineRule="auto"/>
              <w:rPr>
                <w:rFonts w:ascii="Arial"/>
                <w:color w:val="auto"/>
                <w:sz w:val="21"/>
                <w:highlight w:val="none"/>
              </w:rPr>
            </w:pPr>
          </w:p>
          <w:p>
            <w:pPr>
              <w:spacing w:before="60" w:line="187" w:lineRule="auto"/>
              <w:ind w:left="312"/>
              <w:rPr>
                <w:rFonts w:ascii="Times New Roman" w:hAnsi="Times New Roman" w:eastAsia="Times New Roman" w:cs="Times New Roman"/>
                <w:color w:val="auto"/>
                <w:sz w:val="21"/>
                <w:szCs w:val="21"/>
                <w:highlight w:val="none"/>
              </w:rPr>
            </w:pPr>
            <w:r>
              <w:rPr>
                <w:rFonts w:ascii="宋体" w:hAnsi="宋体" w:eastAsia="宋体" w:cs="宋体"/>
                <w:color w:val="auto"/>
                <w:spacing w:val="-1"/>
                <w:kern w:val="2"/>
                <w:sz w:val="24"/>
                <w:szCs w:val="24"/>
                <w:highlight w:val="none"/>
                <w:lang w:val="en-US" w:eastAsia="en-US" w:bidi="ar-SA"/>
              </w:rPr>
              <w:t>3</w:t>
            </w:r>
          </w:p>
        </w:tc>
        <w:tc>
          <w:tcPr>
            <w:tcW w:w="4803" w:type="dxa"/>
            <w:vAlign w:val="top"/>
          </w:tcPr>
          <w:p>
            <w:pPr>
              <w:pStyle w:val="118"/>
              <w:spacing w:before="159" w:line="261" w:lineRule="auto"/>
              <w:ind w:left="116" w:right="104" w:hanging="2"/>
              <w:jc w:val="both"/>
              <w:rPr>
                <w:color w:val="auto"/>
                <w:highlight w:val="none"/>
              </w:rPr>
            </w:pPr>
            <w:r>
              <w:rPr>
                <w:color w:val="auto"/>
                <w:spacing w:val="-2"/>
                <w:highlight w:val="none"/>
              </w:rPr>
              <w:t>通过质量管理体系、环境管理体系、职业安全健康管理体系认证得</w:t>
            </w:r>
            <w:r>
              <w:rPr>
                <w:color w:val="auto"/>
                <w:spacing w:val="-38"/>
                <w:highlight w:val="none"/>
              </w:rPr>
              <w:t xml:space="preserve"> </w:t>
            </w:r>
            <w:r>
              <w:rPr>
                <w:rFonts w:ascii="Times New Roman" w:hAnsi="Times New Roman" w:eastAsia="Times New Roman" w:cs="Times New Roman"/>
                <w:color w:val="auto"/>
                <w:spacing w:val="-2"/>
                <w:highlight w:val="none"/>
              </w:rPr>
              <w:t xml:space="preserve">3 </w:t>
            </w:r>
            <w:r>
              <w:rPr>
                <w:color w:val="auto"/>
                <w:spacing w:val="-2"/>
                <w:highlight w:val="none"/>
              </w:rPr>
              <w:t>分；通过质量管理体系认证得</w:t>
            </w:r>
            <w:r>
              <w:rPr>
                <w:color w:val="auto"/>
                <w:spacing w:val="-28"/>
                <w:highlight w:val="none"/>
              </w:rPr>
              <w:t xml:space="preserve"> </w:t>
            </w:r>
            <w:r>
              <w:rPr>
                <w:rFonts w:ascii="Times New Roman" w:hAnsi="Times New Roman" w:eastAsia="Times New Roman" w:cs="Times New Roman"/>
                <w:color w:val="auto"/>
                <w:spacing w:val="-2"/>
                <w:highlight w:val="none"/>
              </w:rPr>
              <w:t>1</w:t>
            </w:r>
            <w:r>
              <w:rPr>
                <w:rFonts w:ascii="Times New Roman" w:hAnsi="Times New Roman" w:eastAsia="Times New Roman" w:cs="Times New Roman"/>
                <w:color w:val="auto"/>
                <w:highlight w:val="none"/>
              </w:rPr>
              <w:t xml:space="preserve"> </w:t>
            </w:r>
            <w:r>
              <w:rPr>
                <w:color w:val="auto"/>
                <w:spacing w:val="-1"/>
                <w:highlight w:val="none"/>
              </w:rPr>
              <w:t>分；否则不得分。</w:t>
            </w:r>
          </w:p>
          <w:p>
            <w:pPr>
              <w:pStyle w:val="118"/>
              <w:spacing w:before="68" w:line="266" w:lineRule="auto"/>
              <w:ind w:left="113" w:right="102"/>
              <w:rPr>
                <w:color w:val="auto"/>
                <w:highlight w:val="none"/>
              </w:rPr>
            </w:pPr>
            <w:r>
              <w:rPr>
                <w:color w:val="auto"/>
                <w:spacing w:val="-5"/>
                <w:highlight w:val="none"/>
              </w:rPr>
              <w:t>注：</w:t>
            </w:r>
            <w:r>
              <w:rPr>
                <w:color w:val="auto"/>
                <w:spacing w:val="-38"/>
                <w:highlight w:val="none"/>
              </w:rPr>
              <w:t xml:space="preserve"> </w:t>
            </w:r>
            <w:r>
              <w:rPr>
                <w:color w:val="auto"/>
                <w:spacing w:val="-5"/>
                <w:highlight w:val="none"/>
              </w:rPr>
              <w:t>投标文件中提供证书扫描件，认证证书信息可</w:t>
            </w:r>
            <w:r>
              <w:rPr>
                <w:color w:val="auto"/>
                <w:spacing w:val="-2"/>
                <w:highlight w:val="none"/>
              </w:rPr>
              <w:t>在国家认证认可监督管理委员会官方网站查询，并</w:t>
            </w:r>
            <w:r>
              <w:rPr>
                <w:color w:val="auto"/>
                <w:spacing w:val="-1"/>
                <w:highlight w:val="none"/>
              </w:rPr>
              <w:t>在投标文件中提供全国认证认可信息公共服务平台查询且显示有效的截图作为评审依据。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21" w:type="dxa"/>
            <w:vAlign w:val="top"/>
          </w:tcPr>
          <w:p>
            <w:pPr>
              <w:pStyle w:val="118"/>
              <w:spacing w:before="231" w:line="179" w:lineRule="auto"/>
              <w:ind w:left="314"/>
              <w:rPr>
                <w:rFonts w:hint="default" w:eastAsia="宋体"/>
                <w:color w:val="auto"/>
                <w:highlight w:val="none"/>
                <w:lang w:val="en-US" w:eastAsia="zh-CN"/>
              </w:rPr>
            </w:pPr>
            <w:r>
              <w:rPr>
                <w:rFonts w:hint="eastAsia"/>
                <w:color w:val="auto"/>
                <w:highlight w:val="none"/>
                <w:lang w:val="en-US" w:eastAsia="zh-CN"/>
                <w14:textOutline w14:w="3831" w14:cap="flat" w14:cmpd="sng">
                  <w14:solidFill>
                    <w14:srgbClr w14:val="000000"/>
                  </w14:solidFill>
                  <w14:prstDash w14:val="solid"/>
                  <w14:miter w14:val="0"/>
                </w14:textOutline>
              </w:rPr>
              <w:t>1.2</w:t>
            </w:r>
          </w:p>
        </w:tc>
        <w:tc>
          <w:tcPr>
            <w:tcW w:w="3126" w:type="dxa"/>
            <w:vAlign w:val="top"/>
          </w:tcPr>
          <w:p>
            <w:pPr>
              <w:pStyle w:val="118"/>
              <w:spacing w:before="170" w:line="221" w:lineRule="auto"/>
              <w:ind w:left="934"/>
              <w:rPr>
                <w:color w:val="auto"/>
                <w:highlight w:val="none"/>
              </w:rPr>
            </w:pPr>
            <w:r>
              <w:rPr>
                <w:color w:val="auto"/>
                <w:spacing w:val="-1"/>
                <w:highlight w:val="none"/>
                <w14:textOutline w14:w="3831" w14:cap="flat" w14:cmpd="sng">
                  <w14:solidFill>
                    <w14:srgbClr w14:val="000000"/>
                  </w14:solidFill>
                  <w14:prstDash w14:val="solid"/>
                  <w14:miter w14:val="0"/>
                </w14:textOutline>
              </w:rPr>
              <w:t>类似项目业绩</w:t>
            </w:r>
          </w:p>
        </w:tc>
        <w:tc>
          <w:tcPr>
            <w:tcW w:w="719" w:type="dxa"/>
            <w:vAlign w:val="top"/>
          </w:tcPr>
          <w:p>
            <w:pPr>
              <w:spacing w:before="207" w:line="187" w:lineRule="auto"/>
              <w:ind w:left="265"/>
              <w:rPr>
                <w:rFonts w:ascii="宋体" w:hAnsi="宋体" w:eastAsia="宋体" w:cs="宋体"/>
                <w:color w:val="auto"/>
                <w:spacing w:val="-1"/>
                <w:kern w:val="2"/>
                <w:sz w:val="24"/>
                <w:szCs w:val="24"/>
                <w:highlight w:val="none"/>
                <w:lang w:val="en-US" w:eastAsia="en-US" w:bidi="ar-SA"/>
              </w:rPr>
            </w:pPr>
            <w:r>
              <w:rPr>
                <w:rFonts w:ascii="宋体" w:hAnsi="宋体" w:eastAsia="宋体" w:cs="宋体"/>
                <w:color w:val="auto"/>
                <w:spacing w:val="-1"/>
                <w:kern w:val="2"/>
                <w:sz w:val="24"/>
                <w:szCs w:val="24"/>
                <w:highlight w:val="none"/>
                <w:lang w:val="en-US" w:eastAsia="en-US" w:bidi="ar-SA"/>
              </w:rPr>
              <w:t>12</w:t>
            </w:r>
          </w:p>
        </w:tc>
        <w:tc>
          <w:tcPr>
            <w:tcW w:w="480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821" w:type="dxa"/>
            <w:vAlign w:val="top"/>
          </w:tcPr>
          <w:p>
            <w:pPr>
              <w:rPr>
                <w:rFonts w:hint="eastAsia" w:ascii="Arial"/>
                <w:color w:val="auto"/>
                <w:sz w:val="21"/>
                <w:highlight w:val="none"/>
                <w:lang w:val="en-US" w:eastAsia="zh-CN"/>
              </w:rPr>
            </w:pPr>
          </w:p>
          <w:p>
            <w:pPr>
              <w:rPr>
                <w:rFonts w:hint="eastAsia" w:ascii="Arial"/>
                <w:color w:val="auto"/>
                <w:sz w:val="21"/>
                <w:highlight w:val="none"/>
                <w:lang w:val="en-US" w:eastAsia="zh-CN"/>
              </w:rPr>
            </w:pPr>
          </w:p>
          <w:p>
            <w:pPr>
              <w:ind w:firstLine="210" w:firstLineChars="100"/>
              <w:rPr>
                <w:rFonts w:hint="default" w:ascii="Arial" w:eastAsia="宋体"/>
                <w:color w:val="auto"/>
                <w:sz w:val="21"/>
                <w:highlight w:val="none"/>
                <w:lang w:val="en-US" w:eastAsia="zh-CN"/>
              </w:rPr>
            </w:pPr>
            <w:r>
              <w:rPr>
                <w:rFonts w:hint="eastAsia" w:ascii="Arial"/>
                <w:color w:val="auto"/>
                <w:sz w:val="21"/>
                <w:highlight w:val="none"/>
                <w:lang w:val="en-US" w:eastAsia="zh-CN"/>
              </w:rPr>
              <w:t xml:space="preserve"> </w:t>
            </w:r>
          </w:p>
        </w:tc>
        <w:tc>
          <w:tcPr>
            <w:tcW w:w="3126" w:type="dxa"/>
            <w:vAlign w:val="top"/>
          </w:tcPr>
          <w:p>
            <w:pPr>
              <w:spacing w:line="264" w:lineRule="auto"/>
              <w:rPr>
                <w:rFonts w:ascii="Arial"/>
                <w:color w:val="auto"/>
                <w:sz w:val="21"/>
                <w:highlight w:val="none"/>
              </w:rPr>
            </w:pPr>
          </w:p>
          <w:p>
            <w:pPr>
              <w:spacing w:line="264" w:lineRule="auto"/>
              <w:rPr>
                <w:rFonts w:ascii="Arial"/>
                <w:color w:val="auto"/>
                <w:sz w:val="21"/>
                <w:highlight w:val="none"/>
              </w:rPr>
            </w:pPr>
          </w:p>
          <w:p>
            <w:pPr>
              <w:pStyle w:val="118"/>
              <w:spacing w:before="69" w:line="221" w:lineRule="auto"/>
              <w:ind w:left="199"/>
              <w:jc w:val="center"/>
              <w:rPr>
                <w:color w:val="auto"/>
                <w:spacing w:val="-1"/>
                <w:highlight w:val="none"/>
              </w:rPr>
            </w:pPr>
            <w:r>
              <w:rPr>
                <w:color w:val="auto"/>
                <w:spacing w:val="-1"/>
                <w:highlight w:val="none"/>
              </w:rPr>
              <w:t>近年企业完成类似业绩</w:t>
            </w:r>
          </w:p>
          <w:p>
            <w:pPr>
              <w:pStyle w:val="118"/>
              <w:spacing w:before="69" w:line="221" w:lineRule="auto"/>
              <w:ind w:left="199"/>
              <w:jc w:val="center"/>
              <w:rPr>
                <w:color w:val="auto"/>
                <w:highlight w:val="none"/>
              </w:rPr>
            </w:pPr>
            <w:r>
              <w:rPr>
                <w:color w:val="auto"/>
                <w:spacing w:val="-1"/>
                <w:highlight w:val="none"/>
              </w:rPr>
              <w:t>的数量</w:t>
            </w:r>
          </w:p>
        </w:tc>
        <w:tc>
          <w:tcPr>
            <w:tcW w:w="719" w:type="dxa"/>
            <w:vAlign w:val="top"/>
          </w:tcPr>
          <w:p>
            <w:pPr>
              <w:spacing w:line="284" w:lineRule="auto"/>
              <w:rPr>
                <w:rFonts w:ascii="宋体" w:hAnsi="宋体" w:eastAsia="宋体" w:cs="宋体"/>
                <w:color w:val="auto"/>
                <w:spacing w:val="-1"/>
                <w:kern w:val="2"/>
                <w:sz w:val="24"/>
                <w:szCs w:val="24"/>
                <w:highlight w:val="none"/>
                <w:lang w:val="en-US" w:eastAsia="en-US" w:bidi="ar-SA"/>
              </w:rPr>
            </w:pPr>
          </w:p>
          <w:p>
            <w:pPr>
              <w:spacing w:line="284" w:lineRule="auto"/>
              <w:rPr>
                <w:rFonts w:ascii="宋体" w:hAnsi="宋体" w:eastAsia="宋体" w:cs="宋体"/>
                <w:color w:val="auto"/>
                <w:spacing w:val="-1"/>
                <w:kern w:val="2"/>
                <w:sz w:val="24"/>
                <w:szCs w:val="24"/>
                <w:highlight w:val="none"/>
                <w:lang w:val="en-US" w:eastAsia="en-US" w:bidi="ar-SA"/>
              </w:rPr>
            </w:pPr>
          </w:p>
          <w:p>
            <w:pPr>
              <w:spacing w:before="60" w:line="187" w:lineRule="auto"/>
              <w:ind w:left="276"/>
              <w:rPr>
                <w:rFonts w:ascii="宋体" w:hAnsi="宋体" w:eastAsia="宋体" w:cs="宋体"/>
                <w:color w:val="auto"/>
                <w:spacing w:val="-1"/>
                <w:kern w:val="2"/>
                <w:sz w:val="24"/>
                <w:szCs w:val="24"/>
                <w:highlight w:val="none"/>
                <w:lang w:val="en-US" w:eastAsia="en-US" w:bidi="ar-SA"/>
              </w:rPr>
            </w:pPr>
            <w:r>
              <w:rPr>
                <w:rFonts w:ascii="宋体" w:hAnsi="宋体" w:eastAsia="宋体" w:cs="宋体"/>
                <w:color w:val="auto"/>
                <w:spacing w:val="-1"/>
                <w:kern w:val="2"/>
                <w:sz w:val="24"/>
                <w:szCs w:val="24"/>
                <w:highlight w:val="none"/>
                <w:lang w:val="en-US" w:eastAsia="en-US" w:bidi="ar-SA"/>
              </w:rPr>
              <w:t>12</w:t>
            </w:r>
          </w:p>
        </w:tc>
        <w:tc>
          <w:tcPr>
            <w:tcW w:w="4803" w:type="dxa"/>
            <w:vAlign w:val="top"/>
          </w:tcPr>
          <w:p>
            <w:pPr>
              <w:pStyle w:val="118"/>
              <w:spacing w:before="141" w:line="251" w:lineRule="auto"/>
              <w:ind w:left="114" w:right="104" w:firstLine="2"/>
              <w:rPr>
                <w:color w:val="auto"/>
                <w:highlight w:val="none"/>
              </w:rPr>
            </w:pPr>
            <w:r>
              <w:rPr>
                <w:color w:val="auto"/>
                <w:spacing w:val="-4"/>
                <w:highlight w:val="none"/>
              </w:rPr>
              <w:t>201</w:t>
            </w:r>
            <w:r>
              <w:rPr>
                <w:rFonts w:hint="eastAsia"/>
                <w:color w:val="auto"/>
                <w:spacing w:val="-4"/>
                <w:highlight w:val="none"/>
                <w:lang w:val="en-US" w:eastAsia="zh-CN"/>
              </w:rPr>
              <w:t>8</w:t>
            </w:r>
            <w:r>
              <w:rPr>
                <w:color w:val="auto"/>
                <w:spacing w:val="-4"/>
                <w:highlight w:val="none"/>
              </w:rPr>
              <w:t xml:space="preserve"> 年 </w:t>
            </w:r>
            <w:r>
              <w:rPr>
                <w:rFonts w:hint="eastAsia"/>
                <w:color w:val="auto"/>
                <w:spacing w:val="-4"/>
                <w:highlight w:val="none"/>
                <w:lang w:val="en-US" w:eastAsia="zh-CN"/>
              </w:rPr>
              <w:t>12</w:t>
            </w:r>
            <w:r>
              <w:rPr>
                <w:color w:val="auto"/>
                <w:spacing w:val="-4"/>
                <w:highlight w:val="none"/>
              </w:rPr>
              <w:t xml:space="preserve"> 月以来已完成</w:t>
            </w:r>
            <w:r>
              <w:rPr>
                <w:rFonts w:hint="eastAsia"/>
                <w:color w:val="auto"/>
                <w:spacing w:val="-4"/>
                <w:highlight w:val="none"/>
                <w:lang w:val="en-US" w:eastAsia="zh-CN"/>
              </w:rPr>
              <w:t>的类似项目业绩</w:t>
            </w:r>
            <w:r>
              <w:rPr>
                <w:color w:val="auto"/>
                <w:spacing w:val="-4"/>
                <w:highlight w:val="none"/>
              </w:rPr>
              <w:t>，每</w:t>
            </w:r>
            <w:r>
              <w:rPr>
                <w:color w:val="auto"/>
                <w:spacing w:val="-7"/>
                <w:highlight w:val="none"/>
              </w:rPr>
              <w:t>提供1</w:t>
            </w:r>
            <w:r>
              <w:rPr>
                <w:color w:val="auto"/>
                <w:spacing w:val="-5"/>
                <w:highlight w:val="none"/>
              </w:rPr>
              <w:t>个得 6分，最高得</w:t>
            </w:r>
            <w:r>
              <w:rPr>
                <w:color w:val="auto"/>
                <w:spacing w:val="22"/>
                <w:highlight w:val="none"/>
              </w:rPr>
              <w:t xml:space="preserve"> </w:t>
            </w:r>
            <w:r>
              <w:rPr>
                <w:color w:val="auto"/>
                <w:spacing w:val="-5"/>
                <w:highlight w:val="none"/>
              </w:rPr>
              <w:t>12</w:t>
            </w:r>
            <w:r>
              <w:rPr>
                <w:color w:val="auto"/>
                <w:spacing w:val="9"/>
                <w:highlight w:val="none"/>
              </w:rPr>
              <w:t xml:space="preserve"> </w:t>
            </w:r>
            <w:r>
              <w:rPr>
                <w:color w:val="auto"/>
                <w:spacing w:val="-5"/>
                <w:highlight w:val="none"/>
              </w:rPr>
              <w:t>分。</w:t>
            </w:r>
          </w:p>
          <w:p>
            <w:pPr>
              <w:pStyle w:val="118"/>
              <w:spacing w:before="71" w:line="251" w:lineRule="auto"/>
              <w:ind w:left="114" w:right="102"/>
              <w:rPr>
                <w:color w:val="auto"/>
                <w:highlight w:val="none"/>
              </w:rPr>
            </w:pPr>
            <w:r>
              <w:rPr>
                <w:rFonts w:hint="eastAsia"/>
                <w:b/>
                <w:bCs/>
                <w:color w:val="auto"/>
                <w:spacing w:val="-5"/>
                <w:highlight w:val="none"/>
                <w:lang w:val="en-US" w:eastAsia="zh-CN"/>
              </w:rPr>
              <w:t>注：类似业绩及要求详见表后</w:t>
            </w:r>
            <w:r>
              <w:rPr>
                <w:b/>
                <w:bCs/>
                <w:color w:val="auto"/>
                <w:spacing w:val="-5"/>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pStyle w:val="118"/>
              <w:spacing w:before="195" w:line="238" w:lineRule="auto"/>
              <w:ind w:left="310"/>
              <w:rPr>
                <w:rFonts w:hint="default" w:eastAsia="宋体"/>
                <w:color w:val="auto"/>
                <w:highlight w:val="none"/>
                <w:lang w:val="en-US" w:eastAsia="zh-CN"/>
              </w:rPr>
            </w:pPr>
            <w:r>
              <w:rPr>
                <w:rFonts w:hint="eastAsia"/>
                <w:color w:val="auto"/>
                <w:highlight w:val="none"/>
                <w:lang w:val="en-US" w:eastAsia="zh-CN"/>
                <w14:textOutline w14:w="3831" w14:cap="flat" w14:cmpd="sng">
                  <w14:solidFill>
                    <w14:srgbClr w14:val="000000"/>
                  </w14:solidFill>
                  <w14:prstDash w14:val="solid"/>
                  <w14:miter w14:val="0"/>
                </w14:textOutline>
              </w:rPr>
              <w:t>1.3</w:t>
            </w:r>
          </w:p>
        </w:tc>
        <w:tc>
          <w:tcPr>
            <w:tcW w:w="3126" w:type="dxa"/>
            <w:vAlign w:val="top"/>
          </w:tcPr>
          <w:p>
            <w:pPr>
              <w:pStyle w:val="118"/>
              <w:spacing w:before="195" w:line="221" w:lineRule="auto"/>
              <w:ind w:left="410"/>
              <w:rPr>
                <w:color w:val="auto"/>
                <w:highlight w:val="none"/>
              </w:rPr>
            </w:pPr>
            <w:r>
              <w:rPr>
                <w:color w:val="auto"/>
                <w:spacing w:val="-1"/>
                <w:highlight w:val="none"/>
                <w14:textOutline w14:w="3831" w14:cap="flat" w14:cmpd="sng">
                  <w14:solidFill>
                    <w14:srgbClr w14:val="000000"/>
                  </w14:solidFill>
                  <w14:prstDash w14:val="solid"/>
                  <w14:miter w14:val="0"/>
                </w14:textOutline>
              </w:rPr>
              <w:t>项目负责人的资历和业绩</w:t>
            </w:r>
          </w:p>
        </w:tc>
        <w:tc>
          <w:tcPr>
            <w:tcW w:w="719" w:type="dxa"/>
            <w:vAlign w:val="top"/>
          </w:tcPr>
          <w:p>
            <w:pPr>
              <w:spacing w:before="231" w:line="187" w:lineRule="auto"/>
              <w:ind w:left="270"/>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7"/>
                <w:sz w:val="21"/>
                <w:szCs w:val="21"/>
                <w:highlight w:val="none"/>
              </w:rPr>
              <w:t>11</w:t>
            </w:r>
          </w:p>
        </w:tc>
        <w:tc>
          <w:tcPr>
            <w:tcW w:w="480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trPr>
        <w:tc>
          <w:tcPr>
            <w:tcW w:w="821" w:type="dxa"/>
            <w:vAlign w:val="top"/>
          </w:tcPr>
          <w:p>
            <w:pPr>
              <w:jc w:val="center"/>
              <w:rPr>
                <w:rFonts w:hint="default" w:ascii="Arial" w:eastAsia="宋体"/>
                <w:color w:val="auto"/>
                <w:sz w:val="21"/>
                <w:highlight w:val="none"/>
                <w:lang w:val="en-US" w:eastAsia="zh-CN"/>
              </w:rPr>
            </w:pPr>
            <w:r>
              <w:rPr>
                <w:rFonts w:hint="eastAsia" w:ascii="Arial"/>
                <w:color w:val="auto"/>
                <w:sz w:val="21"/>
                <w:highlight w:val="none"/>
                <w:lang w:val="en-US" w:eastAsia="zh-CN"/>
              </w:rPr>
              <w:t xml:space="preserve"> </w:t>
            </w:r>
          </w:p>
        </w:tc>
        <w:tc>
          <w:tcPr>
            <w:tcW w:w="3126" w:type="dxa"/>
            <w:vAlign w:val="top"/>
          </w:tcPr>
          <w:p>
            <w:pPr>
              <w:spacing w:line="280" w:lineRule="auto"/>
              <w:rPr>
                <w:rFonts w:ascii="Arial"/>
                <w:color w:val="auto"/>
                <w:sz w:val="21"/>
                <w:highlight w:val="none"/>
              </w:rPr>
            </w:pPr>
          </w:p>
          <w:p>
            <w:pPr>
              <w:spacing w:line="280" w:lineRule="auto"/>
              <w:rPr>
                <w:rFonts w:ascii="Arial"/>
                <w:color w:val="auto"/>
                <w:sz w:val="21"/>
                <w:highlight w:val="none"/>
              </w:rPr>
            </w:pPr>
          </w:p>
          <w:p>
            <w:pPr>
              <w:pStyle w:val="118"/>
              <w:spacing w:before="69" w:line="221" w:lineRule="auto"/>
              <w:ind w:left="621"/>
              <w:rPr>
                <w:color w:val="auto"/>
                <w:highlight w:val="none"/>
              </w:rPr>
            </w:pPr>
            <w:r>
              <w:rPr>
                <w:color w:val="auto"/>
                <w:spacing w:val="-1"/>
                <w:highlight w:val="none"/>
              </w:rPr>
              <w:t>职称及注册执业情况</w:t>
            </w:r>
          </w:p>
        </w:tc>
        <w:tc>
          <w:tcPr>
            <w:tcW w:w="719" w:type="dxa"/>
            <w:vAlign w:val="top"/>
          </w:tcPr>
          <w:p>
            <w:pPr>
              <w:spacing w:line="301" w:lineRule="auto"/>
              <w:rPr>
                <w:rFonts w:ascii="Arial"/>
                <w:color w:val="auto"/>
                <w:sz w:val="21"/>
                <w:highlight w:val="none"/>
              </w:rPr>
            </w:pPr>
          </w:p>
          <w:p>
            <w:pPr>
              <w:spacing w:line="301" w:lineRule="auto"/>
              <w:rPr>
                <w:rFonts w:ascii="Arial"/>
                <w:color w:val="auto"/>
                <w:sz w:val="21"/>
                <w:highlight w:val="none"/>
              </w:rPr>
            </w:pPr>
          </w:p>
          <w:p>
            <w:pPr>
              <w:spacing w:before="61" w:line="187" w:lineRule="auto"/>
              <w:ind w:left="307"/>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5</w:t>
            </w:r>
          </w:p>
        </w:tc>
        <w:tc>
          <w:tcPr>
            <w:tcW w:w="4803" w:type="dxa"/>
            <w:vAlign w:val="top"/>
          </w:tcPr>
          <w:p>
            <w:pPr>
              <w:pStyle w:val="118"/>
              <w:spacing w:before="175" w:line="261" w:lineRule="auto"/>
              <w:ind w:left="115" w:right="102" w:firstLine="2"/>
              <w:jc w:val="both"/>
              <w:rPr>
                <w:color w:val="auto"/>
                <w:highlight w:val="none"/>
              </w:rPr>
            </w:pPr>
            <w:r>
              <w:rPr>
                <w:color w:val="auto"/>
                <w:spacing w:val="7"/>
                <w:highlight w:val="none"/>
              </w:rPr>
              <w:t>具有环境保护或水利工程相关专业高级及以上技</w:t>
            </w:r>
            <w:r>
              <w:rPr>
                <w:color w:val="auto"/>
                <w:spacing w:val="-4"/>
                <w:highlight w:val="none"/>
              </w:rPr>
              <w:t>术职称得</w:t>
            </w:r>
            <w:r>
              <w:rPr>
                <w:rFonts w:hint="eastAsia"/>
                <w:color w:val="auto"/>
                <w:spacing w:val="-4"/>
                <w:highlight w:val="none"/>
                <w:lang w:val="en-US" w:eastAsia="zh-CN"/>
              </w:rPr>
              <w:t>2.5</w:t>
            </w:r>
            <w:r>
              <w:rPr>
                <w:color w:val="auto"/>
                <w:spacing w:val="-4"/>
                <w:highlight w:val="none"/>
              </w:rPr>
              <w:t>分，</w:t>
            </w:r>
            <w:r>
              <w:rPr>
                <w:color w:val="auto"/>
                <w:spacing w:val="-59"/>
                <w:highlight w:val="none"/>
              </w:rPr>
              <w:t xml:space="preserve"> </w:t>
            </w:r>
            <w:r>
              <w:rPr>
                <w:color w:val="auto"/>
                <w:spacing w:val="-4"/>
                <w:highlight w:val="none"/>
              </w:rPr>
              <w:t>具有注册环境影响评价工程师证书</w:t>
            </w:r>
            <w:r>
              <w:rPr>
                <w:color w:val="auto"/>
                <w:spacing w:val="-7"/>
                <w:highlight w:val="none"/>
              </w:rPr>
              <w:t>的得</w:t>
            </w:r>
            <w:r>
              <w:rPr>
                <w:color w:val="auto"/>
                <w:spacing w:val="-45"/>
                <w:highlight w:val="none"/>
              </w:rPr>
              <w:t xml:space="preserve"> </w:t>
            </w:r>
            <w:r>
              <w:rPr>
                <w:rFonts w:hint="eastAsia" w:ascii="Times New Roman" w:hAnsi="Times New Roman" w:eastAsia="宋体" w:cs="Times New Roman"/>
                <w:color w:val="auto"/>
                <w:spacing w:val="-7"/>
                <w:highlight w:val="none"/>
                <w:lang w:val="en-US" w:eastAsia="zh-CN"/>
              </w:rPr>
              <w:t>2</w:t>
            </w:r>
            <w:r>
              <w:rPr>
                <w:rFonts w:hint="eastAsia" w:ascii="Times New Roman" w:hAnsi="Times New Roman" w:cs="Times New Roman"/>
                <w:color w:val="auto"/>
                <w:spacing w:val="-7"/>
                <w:highlight w:val="none"/>
                <w:lang w:val="en-US" w:eastAsia="zh-CN"/>
              </w:rPr>
              <w:t>.5</w:t>
            </w:r>
            <w:r>
              <w:rPr>
                <w:color w:val="auto"/>
                <w:spacing w:val="-7"/>
                <w:highlight w:val="none"/>
              </w:rPr>
              <w:t>分。</w:t>
            </w:r>
          </w:p>
          <w:p>
            <w:pPr>
              <w:pStyle w:val="118"/>
              <w:spacing w:before="68" w:line="220" w:lineRule="auto"/>
              <w:ind w:left="114"/>
              <w:rPr>
                <w:color w:val="auto"/>
                <w:highlight w:val="none"/>
              </w:rPr>
            </w:pPr>
            <w:r>
              <w:rPr>
                <w:b/>
                <w:bCs/>
                <w:color w:val="auto"/>
                <w:spacing w:val="-5"/>
                <w:highlight w:val="none"/>
              </w:rPr>
              <w:t>注：</w:t>
            </w:r>
            <w:r>
              <w:rPr>
                <w:rFonts w:hint="eastAsia"/>
                <w:b/>
                <w:bCs/>
                <w:color w:val="auto"/>
                <w:spacing w:val="-5"/>
                <w:highlight w:val="none"/>
                <w:lang w:eastAsia="zh-CN"/>
              </w:rPr>
              <w:t>响应文件中</w:t>
            </w:r>
            <w:r>
              <w:rPr>
                <w:b/>
                <w:bCs/>
                <w:color w:val="auto"/>
                <w:spacing w:val="-5"/>
                <w:highlight w:val="none"/>
              </w:rPr>
              <w:t>须提供证书的原件扫描件，未提供的不得分。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821" w:type="dxa"/>
            <w:vAlign w:val="top"/>
          </w:tcPr>
          <w:p>
            <w:pPr>
              <w:jc w:val="center"/>
              <w:rPr>
                <w:rFonts w:hint="default" w:ascii="Arial"/>
                <w:color w:val="auto"/>
                <w:sz w:val="21"/>
                <w:highlight w:val="none"/>
                <w:lang w:val="en-US" w:eastAsia="zh-CN"/>
              </w:rPr>
            </w:pPr>
          </w:p>
          <w:p>
            <w:pPr>
              <w:jc w:val="center"/>
              <w:rPr>
                <w:rFonts w:hint="default" w:ascii="Arial"/>
                <w:color w:val="auto"/>
                <w:sz w:val="21"/>
                <w:highlight w:val="none"/>
                <w:lang w:val="en-US" w:eastAsia="zh-CN"/>
              </w:rPr>
            </w:pPr>
          </w:p>
          <w:p>
            <w:pPr>
              <w:jc w:val="center"/>
              <w:rPr>
                <w:rFonts w:hint="default" w:ascii="Arial" w:eastAsia="宋体"/>
                <w:color w:val="auto"/>
                <w:sz w:val="21"/>
                <w:highlight w:val="none"/>
                <w:lang w:val="en-US" w:eastAsia="zh-CN"/>
              </w:rPr>
            </w:pPr>
            <w:r>
              <w:rPr>
                <w:rFonts w:hint="eastAsia" w:ascii="Arial"/>
                <w:color w:val="auto"/>
                <w:sz w:val="21"/>
                <w:highlight w:val="none"/>
                <w:lang w:val="en-US" w:eastAsia="zh-CN"/>
              </w:rPr>
              <w:t xml:space="preserve"> </w:t>
            </w:r>
          </w:p>
        </w:tc>
        <w:tc>
          <w:tcPr>
            <w:tcW w:w="3126" w:type="dxa"/>
            <w:vAlign w:val="top"/>
          </w:tcPr>
          <w:p>
            <w:pPr>
              <w:pStyle w:val="118"/>
              <w:spacing w:before="307" w:line="238" w:lineRule="auto"/>
              <w:ind w:left="937"/>
              <w:rPr>
                <w:color w:val="auto"/>
                <w:highlight w:val="none"/>
              </w:rPr>
            </w:pPr>
            <w:r>
              <w:rPr>
                <w:color w:val="auto"/>
                <w:spacing w:val="-1"/>
                <w:highlight w:val="none"/>
              </w:rPr>
              <w:t>类似项目业绩</w:t>
            </w:r>
          </w:p>
          <w:p>
            <w:pPr>
              <w:pStyle w:val="118"/>
              <w:spacing w:line="220" w:lineRule="auto"/>
              <w:ind w:left="837"/>
              <w:rPr>
                <w:color w:val="auto"/>
                <w:highlight w:val="none"/>
              </w:rPr>
            </w:pPr>
            <w:r>
              <w:rPr>
                <w:color w:val="auto"/>
                <w:spacing w:val="-3"/>
                <w:highlight w:val="none"/>
              </w:rPr>
              <w:t>（无年限限制）</w:t>
            </w:r>
          </w:p>
        </w:tc>
        <w:tc>
          <w:tcPr>
            <w:tcW w:w="719" w:type="dxa"/>
            <w:vAlign w:val="top"/>
          </w:tcPr>
          <w:p>
            <w:pPr>
              <w:spacing w:line="412" w:lineRule="auto"/>
              <w:rPr>
                <w:rFonts w:ascii="Arial"/>
                <w:color w:val="auto"/>
                <w:sz w:val="21"/>
                <w:highlight w:val="none"/>
              </w:rPr>
            </w:pPr>
          </w:p>
          <w:p>
            <w:pPr>
              <w:spacing w:before="60" w:line="187" w:lineRule="auto"/>
              <w:ind w:left="31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4803" w:type="dxa"/>
            <w:vAlign w:val="top"/>
          </w:tcPr>
          <w:p>
            <w:pPr>
              <w:pStyle w:val="118"/>
              <w:spacing w:before="32" w:line="231" w:lineRule="auto"/>
              <w:ind w:left="114" w:right="104" w:firstLine="23"/>
              <w:rPr>
                <w:color w:val="auto"/>
                <w:highlight w:val="none"/>
              </w:rPr>
            </w:pPr>
            <w:r>
              <w:rPr>
                <w:color w:val="auto"/>
                <w:spacing w:val="-5"/>
                <w:highlight w:val="none"/>
              </w:rPr>
              <w:t>以项目负责人身份完成的类似项目业绩，</w:t>
            </w:r>
            <w:r>
              <w:rPr>
                <w:color w:val="auto"/>
                <w:spacing w:val="-56"/>
                <w:highlight w:val="none"/>
              </w:rPr>
              <w:t xml:space="preserve"> </w:t>
            </w:r>
            <w:r>
              <w:rPr>
                <w:color w:val="auto"/>
                <w:spacing w:val="-5"/>
                <w:highlight w:val="none"/>
              </w:rPr>
              <w:t>每提供 1</w:t>
            </w:r>
            <w:r>
              <w:rPr>
                <w:color w:val="auto"/>
                <w:highlight w:val="none"/>
              </w:rPr>
              <w:t xml:space="preserve"> </w:t>
            </w:r>
            <w:r>
              <w:rPr>
                <w:color w:val="auto"/>
                <w:spacing w:val="-5"/>
                <w:highlight w:val="none"/>
              </w:rPr>
              <w:t>个得 6</w:t>
            </w:r>
            <w:r>
              <w:rPr>
                <w:color w:val="auto"/>
                <w:spacing w:val="18"/>
                <w:highlight w:val="none"/>
              </w:rPr>
              <w:t xml:space="preserve"> </w:t>
            </w:r>
            <w:r>
              <w:rPr>
                <w:color w:val="auto"/>
                <w:spacing w:val="-5"/>
                <w:highlight w:val="none"/>
              </w:rPr>
              <w:t>分，满分</w:t>
            </w:r>
            <w:r>
              <w:rPr>
                <w:color w:val="auto"/>
                <w:spacing w:val="-42"/>
                <w:highlight w:val="none"/>
              </w:rPr>
              <w:t xml:space="preserve"> </w:t>
            </w:r>
            <w:r>
              <w:rPr>
                <w:color w:val="auto"/>
                <w:spacing w:val="-5"/>
                <w:highlight w:val="none"/>
              </w:rPr>
              <w:t>6</w:t>
            </w:r>
            <w:r>
              <w:rPr>
                <w:color w:val="auto"/>
                <w:spacing w:val="9"/>
                <w:highlight w:val="none"/>
              </w:rPr>
              <w:t xml:space="preserve"> </w:t>
            </w:r>
            <w:r>
              <w:rPr>
                <w:color w:val="auto"/>
                <w:spacing w:val="-5"/>
                <w:highlight w:val="none"/>
              </w:rPr>
              <w:t>分。</w:t>
            </w:r>
          </w:p>
          <w:p>
            <w:pPr>
              <w:pStyle w:val="118"/>
              <w:spacing w:before="20" w:line="222" w:lineRule="auto"/>
              <w:ind w:left="114" w:right="102"/>
              <w:rPr>
                <w:rFonts w:hint="eastAsia" w:eastAsia="宋体"/>
                <w:color w:val="auto"/>
                <w:highlight w:val="none"/>
                <w:lang w:val="en-US" w:eastAsia="zh-CN"/>
              </w:rPr>
            </w:pPr>
            <w:r>
              <w:rPr>
                <w:color w:val="auto"/>
                <w:spacing w:val="-57"/>
                <w:highlight w:val="none"/>
              </w:rPr>
              <w:t xml:space="preserve"> </w:t>
            </w:r>
            <w:r>
              <w:rPr>
                <w:rFonts w:hint="eastAsia"/>
                <w:b/>
                <w:bCs/>
                <w:color w:val="auto"/>
                <w:spacing w:val="-5"/>
                <w:highlight w:val="none"/>
                <w:lang w:val="en-US" w:eastAsia="zh-CN"/>
              </w:rPr>
              <w:t>注：类似业绩及要求详见表后</w:t>
            </w:r>
            <w:r>
              <w:rPr>
                <w:b/>
                <w:bCs/>
                <w:color w:val="auto"/>
                <w:spacing w:val="-5"/>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1" w:type="dxa"/>
            <w:vAlign w:val="top"/>
          </w:tcPr>
          <w:p>
            <w:pPr>
              <w:pStyle w:val="118"/>
              <w:spacing w:before="243" w:line="223" w:lineRule="auto"/>
              <w:ind w:left="330"/>
              <w:rPr>
                <w:rFonts w:hint="default" w:eastAsia="宋体"/>
                <w:color w:val="auto"/>
                <w:highlight w:val="none"/>
                <w:lang w:val="en-US" w:eastAsia="zh-CN"/>
              </w:rPr>
            </w:pPr>
            <w:r>
              <w:rPr>
                <w:rFonts w:hint="eastAsia"/>
                <w:color w:val="auto"/>
                <w:highlight w:val="none"/>
                <w:lang w:val="en-US" w:eastAsia="zh-CN"/>
                <w14:textOutline w14:w="3831" w14:cap="flat" w14:cmpd="sng">
                  <w14:solidFill>
                    <w14:srgbClr w14:val="000000"/>
                  </w14:solidFill>
                  <w14:prstDash w14:val="solid"/>
                  <w14:miter w14:val="0"/>
                </w14:textOutline>
              </w:rPr>
              <w:t>1.4</w:t>
            </w:r>
          </w:p>
        </w:tc>
        <w:tc>
          <w:tcPr>
            <w:tcW w:w="3126" w:type="dxa"/>
            <w:vAlign w:val="top"/>
          </w:tcPr>
          <w:p>
            <w:pPr>
              <w:pStyle w:val="118"/>
              <w:spacing w:before="242" w:line="221" w:lineRule="auto"/>
              <w:ind w:left="407"/>
              <w:rPr>
                <w:color w:val="auto"/>
                <w:highlight w:val="none"/>
              </w:rPr>
            </w:pPr>
            <w:r>
              <w:rPr>
                <w:color w:val="auto"/>
                <w:highlight w:val="none"/>
                <w14:textOutline w14:w="3831" w14:cap="flat" w14:cmpd="sng">
                  <w14:solidFill>
                    <w14:srgbClr w14:val="000000"/>
                  </w14:solidFill>
                  <w14:prstDash w14:val="solid"/>
                  <w14:miter w14:val="0"/>
                </w14:textOutline>
              </w:rPr>
              <w:t>其他主要人员资历和业绩</w:t>
            </w:r>
          </w:p>
        </w:tc>
        <w:tc>
          <w:tcPr>
            <w:tcW w:w="719" w:type="dxa"/>
            <w:vAlign w:val="top"/>
          </w:tcPr>
          <w:p>
            <w:pPr>
              <w:spacing w:before="281" w:line="187" w:lineRule="auto"/>
              <w:ind w:left="265"/>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4"/>
                <w:sz w:val="21"/>
                <w:szCs w:val="21"/>
                <w:highlight w:val="none"/>
              </w:rPr>
              <w:t>12</w:t>
            </w:r>
          </w:p>
        </w:tc>
        <w:tc>
          <w:tcPr>
            <w:tcW w:w="4803" w:type="dxa"/>
            <w:vAlign w:val="top"/>
          </w:tcPr>
          <w:p>
            <w:pPr>
              <w:pStyle w:val="118"/>
              <w:spacing w:before="106" w:line="250" w:lineRule="auto"/>
              <w:ind w:left="114" w:right="105" w:firstLine="2"/>
              <w:rPr>
                <w:color w:val="auto"/>
                <w:highlight w:val="none"/>
              </w:rPr>
            </w:pPr>
            <w:r>
              <w:rPr>
                <w:color w:val="auto"/>
                <w:spacing w:val="-2"/>
                <w:highlight w:val="none"/>
                <w14:textOutline w14:w="3831" w14:cap="flat" w14:cmpd="sng">
                  <w14:solidFill>
                    <w14:srgbClr w14:val="000000"/>
                  </w14:solidFill>
                  <w14:prstDash w14:val="solid"/>
                  <w14:miter w14:val="0"/>
                </w14:textOutline>
              </w:rPr>
              <w:t>各专业包括环境类、水利类等。须提供职称证</w:t>
            </w:r>
            <w:r>
              <w:rPr>
                <w:color w:val="auto"/>
                <w:spacing w:val="-3"/>
                <w:highlight w:val="none"/>
                <w14:textOutline w14:w="3831" w14:cap="flat" w14:cmpd="sng">
                  <w14:solidFill>
                    <w14:srgbClr w14:val="000000"/>
                  </w14:solidFill>
                  <w14:prstDash w14:val="solid"/>
                  <w14:miter w14:val="0"/>
                </w14:textOutline>
              </w:rPr>
              <w:t>书或</w:t>
            </w:r>
            <w:r>
              <w:rPr>
                <w:color w:val="auto"/>
                <w:highlight w:val="none"/>
              </w:rPr>
              <w:t xml:space="preserve"> </w:t>
            </w:r>
            <w:r>
              <w:rPr>
                <w:color w:val="auto"/>
                <w:highlight w:val="none"/>
                <w14:textOutline w14:w="3831" w14:cap="flat" w14:cmpd="sng">
                  <w14:solidFill>
                    <w14:srgbClr w14:val="000000"/>
                  </w14:solidFill>
                  <w14:prstDash w14:val="solid"/>
                  <w14:miter w14:val="0"/>
                </w14:textOutline>
              </w:rPr>
              <w:t>执业资格证书的原件扫描件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21" w:type="dxa"/>
            <w:vAlign w:val="top"/>
          </w:tcPr>
          <w:p>
            <w:pPr>
              <w:jc w:val="center"/>
              <w:rPr>
                <w:rFonts w:hint="default" w:ascii="Arial" w:eastAsia="宋体"/>
                <w:color w:val="auto"/>
                <w:sz w:val="21"/>
                <w:highlight w:val="none"/>
                <w:lang w:val="en-US" w:eastAsia="zh-CN"/>
              </w:rPr>
            </w:pPr>
            <w:r>
              <w:rPr>
                <w:rFonts w:hint="eastAsia" w:ascii="Arial"/>
                <w:color w:val="auto"/>
                <w:sz w:val="21"/>
                <w:highlight w:val="none"/>
                <w:lang w:val="en-US" w:eastAsia="zh-CN"/>
              </w:rPr>
              <w:t xml:space="preserve"> </w:t>
            </w:r>
          </w:p>
        </w:tc>
        <w:tc>
          <w:tcPr>
            <w:tcW w:w="3126" w:type="dxa"/>
            <w:vAlign w:val="top"/>
          </w:tcPr>
          <w:p>
            <w:pPr>
              <w:pStyle w:val="118"/>
              <w:spacing w:before="221" w:line="221" w:lineRule="auto"/>
              <w:ind w:left="726"/>
              <w:rPr>
                <w:color w:val="auto"/>
                <w:highlight w:val="none"/>
              </w:rPr>
            </w:pPr>
            <w:r>
              <w:rPr>
                <w:color w:val="auto"/>
                <w:spacing w:val="-1"/>
                <w:highlight w:val="none"/>
              </w:rPr>
              <w:t>专业人员配备齐全</w:t>
            </w:r>
          </w:p>
        </w:tc>
        <w:tc>
          <w:tcPr>
            <w:tcW w:w="719" w:type="dxa"/>
            <w:vAlign w:val="top"/>
          </w:tcPr>
          <w:p>
            <w:pPr>
              <w:spacing w:before="253"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03" w:type="dxa"/>
            <w:vAlign w:val="top"/>
          </w:tcPr>
          <w:p>
            <w:pPr>
              <w:pStyle w:val="118"/>
              <w:spacing w:before="243" w:line="221" w:lineRule="auto"/>
              <w:ind w:left="115"/>
              <w:rPr>
                <w:color w:val="auto"/>
                <w:highlight w:val="none"/>
              </w:rPr>
            </w:pPr>
            <w:r>
              <w:rPr>
                <w:color w:val="auto"/>
                <w:spacing w:val="-9"/>
                <w:highlight w:val="none"/>
              </w:rPr>
              <w:t>专业齐全： 2</w:t>
            </w:r>
            <w:r>
              <w:rPr>
                <w:color w:val="auto"/>
                <w:spacing w:val="-36"/>
                <w:highlight w:val="none"/>
              </w:rPr>
              <w:t xml:space="preserve"> </w:t>
            </w:r>
            <w:r>
              <w:rPr>
                <w:color w:val="auto"/>
                <w:spacing w:val="-9"/>
                <w:highlight w:val="none"/>
              </w:rPr>
              <w:t>分；每少一个专业扣</w:t>
            </w:r>
            <w:r>
              <w:rPr>
                <w:color w:val="auto"/>
                <w:spacing w:val="-29"/>
                <w:highlight w:val="none"/>
              </w:rPr>
              <w:t xml:space="preserve"> </w:t>
            </w:r>
            <w:r>
              <w:rPr>
                <w:color w:val="auto"/>
                <w:spacing w:val="-9"/>
                <w:highlight w:val="none"/>
              </w:rPr>
              <w:t>1</w:t>
            </w:r>
            <w:r>
              <w:rPr>
                <w:color w:val="auto"/>
                <w:spacing w:val="-43"/>
                <w:highlight w:val="none"/>
              </w:rPr>
              <w:t xml:space="preserve"> </w:t>
            </w:r>
            <w:r>
              <w:rPr>
                <w:color w:val="auto"/>
                <w:spacing w:val="-9"/>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1" w:type="dxa"/>
            <w:vAlign w:val="top"/>
          </w:tcPr>
          <w:p>
            <w:pPr>
              <w:jc w:val="center"/>
              <w:rPr>
                <w:rFonts w:hint="default" w:ascii="Arial" w:eastAsia="宋体"/>
                <w:color w:val="auto"/>
                <w:sz w:val="21"/>
                <w:highlight w:val="none"/>
                <w:lang w:val="en-US" w:eastAsia="zh-CN"/>
              </w:rPr>
            </w:pPr>
          </w:p>
        </w:tc>
        <w:tc>
          <w:tcPr>
            <w:tcW w:w="3126" w:type="dxa"/>
            <w:vAlign w:val="top"/>
          </w:tcPr>
          <w:p>
            <w:pPr>
              <w:pStyle w:val="118"/>
              <w:spacing w:before="223" w:line="221" w:lineRule="auto"/>
              <w:ind w:left="621"/>
              <w:rPr>
                <w:color w:val="auto"/>
                <w:highlight w:val="none"/>
              </w:rPr>
            </w:pPr>
            <w:r>
              <w:rPr>
                <w:color w:val="auto"/>
                <w:spacing w:val="-1"/>
                <w:highlight w:val="none"/>
              </w:rPr>
              <w:t>专业人员中高工比例</w:t>
            </w:r>
          </w:p>
        </w:tc>
        <w:tc>
          <w:tcPr>
            <w:tcW w:w="719" w:type="dxa"/>
            <w:vAlign w:val="top"/>
          </w:tcPr>
          <w:p>
            <w:pPr>
              <w:spacing w:before="255"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03" w:type="dxa"/>
            <w:vAlign w:val="top"/>
          </w:tcPr>
          <w:p>
            <w:pPr>
              <w:pStyle w:val="118"/>
              <w:spacing w:before="245" w:line="221" w:lineRule="auto"/>
              <w:ind w:left="130"/>
              <w:rPr>
                <w:color w:val="auto"/>
                <w:highlight w:val="none"/>
              </w:rPr>
            </w:pPr>
            <w:r>
              <w:rPr>
                <w:rFonts w:ascii="Times New Roman" w:hAnsi="Times New Roman" w:eastAsia="Times New Roman" w:cs="Times New Roman"/>
                <w:color w:val="auto"/>
                <w:spacing w:val="-6"/>
                <w:highlight w:val="none"/>
              </w:rPr>
              <w:t xml:space="preserve">1 </w:t>
            </w:r>
            <w:r>
              <w:rPr>
                <w:color w:val="auto"/>
                <w:spacing w:val="-6"/>
                <w:highlight w:val="none"/>
              </w:rPr>
              <w:t>人及以上：</w:t>
            </w:r>
            <w:r>
              <w:rPr>
                <w:rFonts w:ascii="Times New Roman" w:hAnsi="Times New Roman" w:eastAsia="Times New Roman" w:cs="Times New Roman"/>
                <w:color w:val="auto"/>
                <w:spacing w:val="-6"/>
                <w:highlight w:val="none"/>
              </w:rPr>
              <w:t xml:space="preserve">2  </w:t>
            </w:r>
            <w:r>
              <w:rPr>
                <w:color w:val="auto"/>
                <w:spacing w:val="-6"/>
                <w:highlight w:val="none"/>
              </w:rPr>
              <w:t>分；</w:t>
            </w:r>
            <w:r>
              <w:rPr>
                <w:color w:val="auto"/>
                <w:spacing w:val="-18"/>
                <w:highlight w:val="none"/>
              </w:rPr>
              <w:t xml:space="preserve"> </w:t>
            </w:r>
            <w:r>
              <w:rPr>
                <w:color w:val="auto"/>
                <w:spacing w:val="-6"/>
                <w:highlight w:val="none"/>
              </w:rPr>
              <w:t>其余不得分。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21" w:type="dxa"/>
            <w:vAlign w:val="top"/>
          </w:tcPr>
          <w:p>
            <w:pPr>
              <w:jc w:val="center"/>
              <w:rPr>
                <w:rFonts w:hint="default" w:ascii="Arial" w:eastAsia="宋体"/>
                <w:color w:val="auto"/>
                <w:sz w:val="21"/>
                <w:highlight w:val="none"/>
                <w:lang w:val="en-US" w:eastAsia="zh-CN"/>
              </w:rPr>
            </w:pPr>
          </w:p>
        </w:tc>
        <w:tc>
          <w:tcPr>
            <w:tcW w:w="3126" w:type="dxa"/>
            <w:vAlign w:val="top"/>
          </w:tcPr>
          <w:p>
            <w:pPr>
              <w:pStyle w:val="118"/>
              <w:spacing w:before="88" w:line="230" w:lineRule="auto"/>
              <w:ind w:left="1039" w:right="195" w:hanging="838"/>
              <w:rPr>
                <w:color w:val="auto"/>
                <w:highlight w:val="none"/>
              </w:rPr>
            </w:pPr>
            <w:r>
              <w:rPr>
                <w:color w:val="auto"/>
                <w:spacing w:val="-1"/>
                <w:highlight w:val="none"/>
              </w:rPr>
              <w:t>专业人员中的有工程师以上职称人员比例</w:t>
            </w:r>
          </w:p>
        </w:tc>
        <w:tc>
          <w:tcPr>
            <w:tcW w:w="719" w:type="dxa"/>
            <w:vAlign w:val="top"/>
          </w:tcPr>
          <w:p>
            <w:pPr>
              <w:spacing w:before="256"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03" w:type="dxa"/>
            <w:vAlign w:val="top"/>
          </w:tcPr>
          <w:p>
            <w:pPr>
              <w:pStyle w:val="118"/>
              <w:spacing w:before="243" w:line="221" w:lineRule="auto"/>
              <w:ind w:left="110"/>
              <w:rPr>
                <w:color w:val="auto"/>
                <w:highlight w:val="none"/>
              </w:rPr>
            </w:pPr>
            <w:r>
              <w:rPr>
                <w:rFonts w:ascii="Times New Roman" w:hAnsi="Times New Roman" w:eastAsia="Times New Roman" w:cs="Times New Roman"/>
                <w:color w:val="auto"/>
                <w:spacing w:val="-5"/>
                <w:highlight w:val="none"/>
              </w:rPr>
              <w:t xml:space="preserve">2 </w:t>
            </w:r>
            <w:r>
              <w:rPr>
                <w:color w:val="auto"/>
                <w:spacing w:val="-5"/>
                <w:highlight w:val="none"/>
              </w:rPr>
              <w:t>人及以上：</w:t>
            </w:r>
            <w:r>
              <w:rPr>
                <w:rFonts w:ascii="Times New Roman" w:hAnsi="Times New Roman" w:eastAsia="Times New Roman" w:cs="Times New Roman"/>
                <w:color w:val="auto"/>
                <w:spacing w:val="-5"/>
                <w:highlight w:val="none"/>
              </w:rPr>
              <w:t xml:space="preserve">2 </w:t>
            </w:r>
            <w:r>
              <w:rPr>
                <w:color w:val="auto"/>
                <w:spacing w:val="-5"/>
                <w:highlight w:val="none"/>
              </w:rPr>
              <w:t>分；</w:t>
            </w:r>
            <w:r>
              <w:rPr>
                <w:color w:val="auto"/>
                <w:spacing w:val="-20"/>
                <w:highlight w:val="none"/>
              </w:rPr>
              <w:t xml:space="preserve"> </w:t>
            </w:r>
            <w:r>
              <w:rPr>
                <w:color w:val="auto"/>
                <w:spacing w:val="-5"/>
                <w:highlight w:val="none"/>
              </w:rPr>
              <w:t>其余不得分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1" w:type="dxa"/>
            <w:vAlign w:val="top"/>
          </w:tcPr>
          <w:p>
            <w:pPr>
              <w:jc w:val="center"/>
              <w:rPr>
                <w:rFonts w:hint="default" w:ascii="Arial" w:eastAsia="宋体"/>
                <w:color w:val="auto"/>
                <w:sz w:val="21"/>
                <w:highlight w:val="none"/>
                <w:lang w:val="en-US" w:eastAsia="zh-CN"/>
              </w:rPr>
            </w:pPr>
          </w:p>
        </w:tc>
        <w:tc>
          <w:tcPr>
            <w:tcW w:w="3126" w:type="dxa"/>
            <w:vAlign w:val="top"/>
          </w:tcPr>
          <w:p>
            <w:pPr>
              <w:pStyle w:val="118"/>
              <w:spacing w:before="80" w:line="233" w:lineRule="auto"/>
              <w:ind w:left="1357" w:right="195" w:hanging="1155"/>
              <w:rPr>
                <w:color w:val="auto"/>
                <w:highlight w:val="none"/>
              </w:rPr>
            </w:pPr>
            <w:r>
              <w:rPr>
                <w:color w:val="auto"/>
                <w:spacing w:val="-1"/>
                <w:highlight w:val="none"/>
              </w:rPr>
              <w:t>各专业负责人技术水平及工程</w:t>
            </w:r>
            <w:r>
              <w:rPr>
                <w:color w:val="auto"/>
                <w:spacing w:val="-2"/>
                <w:highlight w:val="none"/>
              </w:rPr>
              <w:t>经验</w:t>
            </w:r>
          </w:p>
        </w:tc>
        <w:tc>
          <w:tcPr>
            <w:tcW w:w="719" w:type="dxa"/>
            <w:vAlign w:val="top"/>
          </w:tcPr>
          <w:p>
            <w:pPr>
              <w:spacing w:before="250"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03" w:type="dxa"/>
            <w:vAlign w:val="top"/>
          </w:tcPr>
          <w:p>
            <w:pPr>
              <w:pStyle w:val="118"/>
              <w:spacing w:before="80" w:line="247" w:lineRule="auto"/>
              <w:ind w:left="113" w:right="104" w:firstLine="1"/>
              <w:rPr>
                <w:color w:val="auto"/>
                <w:highlight w:val="none"/>
              </w:rPr>
            </w:pPr>
            <w:r>
              <w:rPr>
                <w:color w:val="auto"/>
                <w:spacing w:val="-5"/>
                <w:highlight w:val="none"/>
              </w:rPr>
              <w:t>技术水平高、经验丰富得</w:t>
            </w:r>
            <w:r>
              <w:rPr>
                <w:color w:val="auto"/>
                <w:spacing w:val="-49"/>
                <w:highlight w:val="none"/>
              </w:rPr>
              <w:t xml:space="preserve"> </w:t>
            </w:r>
            <w:r>
              <w:rPr>
                <w:rFonts w:ascii="Times New Roman" w:hAnsi="Times New Roman" w:eastAsia="Times New Roman" w:cs="Times New Roman"/>
                <w:color w:val="auto"/>
                <w:spacing w:val="-5"/>
                <w:highlight w:val="none"/>
              </w:rPr>
              <w:t xml:space="preserve">2 </w:t>
            </w:r>
            <w:r>
              <w:rPr>
                <w:color w:val="auto"/>
                <w:spacing w:val="-5"/>
                <w:highlight w:val="none"/>
              </w:rPr>
              <w:t>分；</w:t>
            </w:r>
            <w:r>
              <w:rPr>
                <w:color w:val="auto"/>
                <w:spacing w:val="-37"/>
                <w:highlight w:val="none"/>
              </w:rPr>
              <w:t xml:space="preserve"> </w:t>
            </w:r>
            <w:r>
              <w:rPr>
                <w:color w:val="auto"/>
                <w:spacing w:val="-5"/>
                <w:highlight w:val="none"/>
              </w:rPr>
              <w:t>其余酌情赋分，最</w:t>
            </w:r>
            <w:r>
              <w:rPr>
                <w:color w:val="auto"/>
                <w:highlight w:val="none"/>
              </w:rPr>
              <w:t xml:space="preserve"> </w:t>
            </w:r>
            <w:r>
              <w:rPr>
                <w:color w:val="auto"/>
                <w:spacing w:val="-4"/>
                <w:highlight w:val="none"/>
              </w:rPr>
              <w:t>低不低于</w:t>
            </w:r>
            <w:r>
              <w:rPr>
                <w:color w:val="auto"/>
                <w:spacing w:val="-14"/>
                <w:highlight w:val="none"/>
              </w:rPr>
              <w:t xml:space="preserve"> </w:t>
            </w:r>
            <w:r>
              <w:rPr>
                <w:rFonts w:ascii="Times New Roman" w:hAnsi="Times New Roman" w:eastAsia="Times New Roman" w:cs="Times New Roman"/>
                <w:color w:val="auto"/>
                <w:spacing w:val="-4"/>
                <w:highlight w:val="none"/>
              </w:rPr>
              <w:t xml:space="preserve">1.2 </w:t>
            </w:r>
            <w:r>
              <w:rPr>
                <w:color w:val="auto"/>
                <w:spacing w:val="-4"/>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21" w:type="dxa"/>
            <w:vAlign w:val="top"/>
          </w:tcPr>
          <w:p>
            <w:pPr>
              <w:jc w:val="center"/>
              <w:rPr>
                <w:rFonts w:hint="default" w:ascii="Arial" w:eastAsia="宋体"/>
                <w:color w:val="auto"/>
                <w:sz w:val="21"/>
                <w:highlight w:val="none"/>
                <w:lang w:val="en-US" w:eastAsia="zh-CN"/>
              </w:rPr>
            </w:pPr>
          </w:p>
        </w:tc>
        <w:tc>
          <w:tcPr>
            <w:tcW w:w="3126" w:type="dxa"/>
            <w:vAlign w:val="top"/>
          </w:tcPr>
          <w:p>
            <w:pPr>
              <w:pStyle w:val="118"/>
              <w:spacing w:before="216" w:line="221" w:lineRule="auto"/>
              <w:ind w:left="528"/>
              <w:rPr>
                <w:color w:val="auto"/>
                <w:highlight w:val="none"/>
              </w:rPr>
            </w:pPr>
            <w:r>
              <w:rPr>
                <w:color w:val="auto"/>
                <w:spacing w:val="-2"/>
                <w:highlight w:val="none"/>
              </w:rPr>
              <w:t>随时可调用的后备资源</w:t>
            </w:r>
          </w:p>
        </w:tc>
        <w:tc>
          <w:tcPr>
            <w:tcW w:w="719" w:type="dxa"/>
            <w:vAlign w:val="top"/>
          </w:tcPr>
          <w:p>
            <w:pPr>
              <w:spacing w:before="248"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03" w:type="dxa"/>
            <w:vAlign w:val="top"/>
          </w:tcPr>
          <w:p>
            <w:pPr>
              <w:pStyle w:val="118"/>
              <w:spacing w:before="78" w:line="247" w:lineRule="auto"/>
              <w:ind w:left="116" w:right="171" w:firstLine="6"/>
              <w:rPr>
                <w:color w:val="auto"/>
                <w:highlight w:val="none"/>
              </w:rPr>
            </w:pPr>
            <w:r>
              <w:rPr>
                <w:color w:val="auto"/>
                <w:spacing w:val="-2"/>
                <w:highlight w:val="none"/>
              </w:rPr>
              <w:t>资源充足得</w:t>
            </w:r>
            <w:r>
              <w:rPr>
                <w:color w:val="auto"/>
                <w:spacing w:val="-43"/>
                <w:highlight w:val="none"/>
              </w:rPr>
              <w:t xml:space="preserve"> </w:t>
            </w:r>
            <w:r>
              <w:rPr>
                <w:rFonts w:ascii="Times New Roman" w:hAnsi="Times New Roman" w:eastAsia="Times New Roman" w:cs="Times New Roman"/>
                <w:color w:val="auto"/>
                <w:spacing w:val="-2"/>
                <w:highlight w:val="none"/>
              </w:rPr>
              <w:t xml:space="preserve">2 </w:t>
            </w:r>
            <w:r>
              <w:rPr>
                <w:color w:val="auto"/>
                <w:spacing w:val="-2"/>
                <w:highlight w:val="none"/>
              </w:rPr>
              <w:t>分；其余酌情赋分，最低不低于</w:t>
            </w:r>
            <w:r>
              <w:rPr>
                <w:color w:val="auto"/>
                <w:spacing w:val="-28"/>
                <w:highlight w:val="none"/>
              </w:rPr>
              <w:t xml:space="preserve"> </w:t>
            </w:r>
            <w:r>
              <w:rPr>
                <w:rFonts w:ascii="Times New Roman" w:hAnsi="Times New Roman" w:eastAsia="Times New Roman" w:cs="Times New Roman"/>
                <w:color w:val="auto"/>
                <w:spacing w:val="-2"/>
                <w:highlight w:val="none"/>
              </w:rPr>
              <w:t>1.2</w:t>
            </w:r>
            <w:r>
              <w:rPr>
                <w:rFonts w:ascii="Times New Roman" w:hAnsi="Times New Roman" w:eastAsia="Times New Roman" w:cs="Times New Roman"/>
                <w:color w:val="auto"/>
                <w:highlight w:val="none"/>
              </w:rPr>
              <w:t xml:space="preserve">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1" w:type="dxa"/>
            <w:vAlign w:val="top"/>
          </w:tcPr>
          <w:p>
            <w:pPr>
              <w:jc w:val="center"/>
              <w:rPr>
                <w:rFonts w:hint="default" w:ascii="Arial" w:eastAsia="宋体"/>
                <w:color w:val="auto"/>
                <w:sz w:val="21"/>
                <w:highlight w:val="none"/>
                <w:lang w:val="en-US" w:eastAsia="zh-CN"/>
              </w:rPr>
            </w:pPr>
          </w:p>
        </w:tc>
        <w:tc>
          <w:tcPr>
            <w:tcW w:w="3126" w:type="dxa"/>
            <w:vAlign w:val="top"/>
          </w:tcPr>
          <w:p>
            <w:pPr>
              <w:pStyle w:val="118"/>
              <w:spacing w:before="219" w:line="221" w:lineRule="auto"/>
              <w:ind w:left="726"/>
              <w:rPr>
                <w:color w:val="auto"/>
                <w:highlight w:val="none"/>
              </w:rPr>
            </w:pPr>
            <w:r>
              <w:rPr>
                <w:color w:val="auto"/>
                <w:spacing w:val="-1"/>
                <w:highlight w:val="none"/>
              </w:rPr>
              <w:t>监测设备配备齐全</w:t>
            </w:r>
          </w:p>
        </w:tc>
        <w:tc>
          <w:tcPr>
            <w:tcW w:w="719" w:type="dxa"/>
            <w:vAlign w:val="top"/>
          </w:tcPr>
          <w:p>
            <w:pPr>
              <w:spacing w:before="251" w:line="187" w:lineRule="auto"/>
              <w:ind w:left="30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803" w:type="dxa"/>
            <w:vAlign w:val="top"/>
          </w:tcPr>
          <w:p>
            <w:pPr>
              <w:pStyle w:val="118"/>
              <w:spacing w:before="80" w:line="247" w:lineRule="auto"/>
              <w:ind w:left="117" w:right="166" w:hanging="3"/>
              <w:rPr>
                <w:color w:val="auto"/>
                <w:highlight w:val="none"/>
              </w:rPr>
            </w:pPr>
            <w:r>
              <w:rPr>
                <w:color w:val="auto"/>
                <w:spacing w:val="-4"/>
                <w:highlight w:val="none"/>
              </w:rPr>
              <w:t>齐全得</w:t>
            </w:r>
            <w:r>
              <w:rPr>
                <w:color w:val="auto"/>
                <w:spacing w:val="-30"/>
                <w:highlight w:val="none"/>
              </w:rPr>
              <w:t xml:space="preserve"> </w:t>
            </w:r>
            <w:r>
              <w:rPr>
                <w:rFonts w:ascii="Times New Roman" w:hAnsi="Times New Roman" w:eastAsia="Times New Roman" w:cs="Times New Roman"/>
                <w:color w:val="auto"/>
                <w:spacing w:val="-4"/>
                <w:highlight w:val="none"/>
              </w:rPr>
              <w:t xml:space="preserve">2 </w:t>
            </w:r>
            <w:r>
              <w:rPr>
                <w:color w:val="auto"/>
                <w:spacing w:val="-4"/>
                <w:highlight w:val="none"/>
              </w:rPr>
              <w:t>分；其余酌情赋分，最低不低于</w:t>
            </w:r>
            <w:r>
              <w:rPr>
                <w:color w:val="auto"/>
                <w:spacing w:val="-27"/>
                <w:highlight w:val="none"/>
              </w:rPr>
              <w:t xml:space="preserve"> </w:t>
            </w:r>
            <w:r>
              <w:rPr>
                <w:rFonts w:ascii="Times New Roman" w:hAnsi="Times New Roman" w:eastAsia="Times New Roman" w:cs="Times New Roman"/>
                <w:color w:val="auto"/>
                <w:spacing w:val="-4"/>
                <w:highlight w:val="none"/>
              </w:rPr>
              <w:t xml:space="preserve">1.2 </w:t>
            </w:r>
            <w:r>
              <w:rPr>
                <w:color w:val="auto"/>
                <w:spacing w:val="-4"/>
                <w:highlight w:val="none"/>
              </w:rPr>
              <w:t>分，</w:t>
            </w:r>
            <w:r>
              <w:rPr>
                <w:color w:val="auto"/>
                <w:highlight w:val="none"/>
              </w:rPr>
              <w:t xml:space="preserve"> </w:t>
            </w:r>
            <w:r>
              <w:rPr>
                <w:color w:val="auto"/>
                <w:spacing w:val="-2"/>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821" w:type="dxa"/>
            <w:vAlign w:val="top"/>
          </w:tcPr>
          <w:p>
            <w:pPr>
              <w:pStyle w:val="118"/>
              <w:spacing w:before="166" w:line="225" w:lineRule="auto"/>
              <w:ind w:left="158" w:right="158" w:firstLine="43"/>
              <w:jc w:val="center"/>
              <w:rPr>
                <w:rFonts w:hint="eastAsia" w:eastAsia="宋体"/>
                <w:color w:val="auto"/>
                <w:highlight w:val="none"/>
                <w:lang w:eastAsia="zh-CN"/>
              </w:rPr>
            </w:pPr>
            <w:r>
              <w:rPr>
                <w:rFonts w:hint="eastAsia" w:ascii="Times New Roman" w:hAnsi="Times New Roman" w:cs="Times New Roman"/>
                <w:b/>
                <w:bCs/>
                <w:color w:val="auto"/>
                <w:spacing w:val="-1"/>
                <w:highlight w:val="none"/>
                <w:lang w:val="en-US" w:eastAsia="zh-CN"/>
              </w:rPr>
              <w:t>二</w:t>
            </w:r>
          </w:p>
        </w:tc>
        <w:tc>
          <w:tcPr>
            <w:tcW w:w="3126" w:type="dxa"/>
            <w:vAlign w:val="top"/>
          </w:tcPr>
          <w:p>
            <w:pPr>
              <w:pStyle w:val="118"/>
              <w:spacing w:before="263" w:line="221" w:lineRule="auto"/>
              <w:ind w:left="1145"/>
              <w:rPr>
                <w:color w:val="auto"/>
                <w:highlight w:val="none"/>
              </w:rPr>
            </w:pPr>
            <w:r>
              <w:rPr>
                <w:color w:val="auto"/>
                <w:spacing w:val="-1"/>
                <w:highlight w:val="none"/>
                <w14:textOutline w14:w="3831" w14:cap="flat" w14:cmpd="sng">
                  <w14:solidFill>
                    <w14:srgbClr w14:val="000000"/>
                  </w14:solidFill>
                  <w14:prstDash w14:val="solid"/>
                  <w14:miter w14:val="0"/>
                </w14:textOutline>
              </w:rPr>
              <w:t>服务方案</w:t>
            </w:r>
          </w:p>
        </w:tc>
        <w:tc>
          <w:tcPr>
            <w:tcW w:w="719" w:type="dxa"/>
            <w:vAlign w:val="top"/>
          </w:tcPr>
          <w:p>
            <w:pPr>
              <w:rPr>
                <w:rFonts w:ascii="Arial"/>
                <w:color w:val="auto"/>
                <w:sz w:val="21"/>
                <w:highlight w:val="none"/>
              </w:rPr>
            </w:pPr>
          </w:p>
          <w:p>
            <w:pPr>
              <w:spacing w:before="60" w:line="187" w:lineRule="auto"/>
              <w:ind w:left="254"/>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1"/>
                <w:sz w:val="21"/>
                <w:szCs w:val="21"/>
                <w:highlight w:val="none"/>
              </w:rPr>
              <w:t>37</w:t>
            </w:r>
          </w:p>
        </w:tc>
        <w:tc>
          <w:tcPr>
            <w:tcW w:w="480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pStyle w:val="118"/>
              <w:spacing w:before="273" w:line="163" w:lineRule="exact"/>
              <w:ind w:left="314"/>
              <w:rPr>
                <w:rFonts w:hint="default" w:eastAsia="宋体"/>
                <w:color w:val="auto"/>
                <w:highlight w:val="none"/>
                <w:lang w:val="en-US" w:eastAsia="zh-CN"/>
              </w:rPr>
            </w:pPr>
            <w:r>
              <w:rPr>
                <w:rFonts w:hint="eastAsia"/>
                <w:color w:val="auto"/>
                <w:position w:val="-4"/>
                <w:highlight w:val="none"/>
                <w:lang w:val="en-US" w:eastAsia="zh-CN"/>
                <w14:textOutline w14:w="3831" w14:cap="flat" w14:cmpd="sng">
                  <w14:solidFill>
                    <w14:srgbClr w14:val="000000"/>
                  </w14:solidFill>
                  <w14:prstDash w14:val="solid"/>
                  <w14:miter w14:val="0"/>
                </w14:textOutline>
              </w:rPr>
              <w:t>2.1</w:t>
            </w:r>
          </w:p>
        </w:tc>
        <w:tc>
          <w:tcPr>
            <w:tcW w:w="3126" w:type="dxa"/>
            <w:vAlign w:val="top"/>
          </w:tcPr>
          <w:p>
            <w:pPr>
              <w:pStyle w:val="118"/>
              <w:spacing w:before="194" w:line="221" w:lineRule="auto"/>
              <w:ind w:left="936"/>
              <w:rPr>
                <w:color w:val="auto"/>
                <w:highlight w:val="none"/>
              </w:rPr>
            </w:pPr>
            <w:r>
              <w:rPr>
                <w:color w:val="auto"/>
                <w:spacing w:val="-1"/>
                <w:highlight w:val="none"/>
                <w14:textOutline w14:w="3831" w14:cap="flat" w14:cmpd="sng">
                  <w14:solidFill>
                    <w14:srgbClr w14:val="000000"/>
                  </w14:solidFill>
                  <w14:prstDash w14:val="solid"/>
                  <w14:miter w14:val="0"/>
                </w14:textOutline>
              </w:rPr>
              <w:t>现场服务计划</w:t>
            </w:r>
          </w:p>
        </w:tc>
        <w:tc>
          <w:tcPr>
            <w:tcW w:w="719" w:type="dxa"/>
            <w:vAlign w:val="top"/>
          </w:tcPr>
          <w:p>
            <w:pPr>
              <w:spacing w:before="233"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z w:val="21"/>
                <w:szCs w:val="21"/>
                <w:highlight w:val="none"/>
              </w:rPr>
              <w:t>6</w:t>
            </w:r>
          </w:p>
        </w:tc>
        <w:tc>
          <w:tcPr>
            <w:tcW w:w="480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1" w:type="dxa"/>
            <w:vAlign w:val="top"/>
          </w:tcPr>
          <w:p>
            <w:pPr>
              <w:rPr>
                <w:rFonts w:ascii="Arial"/>
                <w:color w:val="auto"/>
                <w:sz w:val="21"/>
                <w:highlight w:val="none"/>
              </w:rPr>
            </w:pPr>
          </w:p>
        </w:tc>
        <w:tc>
          <w:tcPr>
            <w:tcW w:w="3126" w:type="dxa"/>
            <w:vAlign w:val="top"/>
          </w:tcPr>
          <w:p>
            <w:pPr>
              <w:pStyle w:val="118"/>
              <w:spacing w:before="295" w:line="221" w:lineRule="auto"/>
              <w:ind w:left="621"/>
              <w:rPr>
                <w:color w:val="auto"/>
                <w:highlight w:val="none"/>
              </w:rPr>
            </w:pPr>
            <w:r>
              <w:rPr>
                <w:color w:val="auto"/>
                <w:spacing w:val="-1"/>
                <w:highlight w:val="none"/>
              </w:rPr>
              <w:t>现场服务计划和承诺</w:t>
            </w:r>
          </w:p>
        </w:tc>
        <w:tc>
          <w:tcPr>
            <w:tcW w:w="719" w:type="dxa"/>
            <w:vAlign w:val="top"/>
          </w:tcPr>
          <w:p>
            <w:pPr>
              <w:spacing w:line="267" w:lineRule="auto"/>
              <w:rPr>
                <w:rFonts w:ascii="Arial"/>
                <w:color w:val="auto"/>
                <w:sz w:val="21"/>
                <w:highlight w:val="none"/>
              </w:rPr>
            </w:pPr>
          </w:p>
          <w:p>
            <w:pPr>
              <w:spacing w:before="61"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03" w:type="dxa"/>
            <w:vAlign w:val="top"/>
          </w:tcPr>
          <w:p>
            <w:pPr>
              <w:pStyle w:val="118"/>
              <w:spacing w:before="158" w:line="251" w:lineRule="auto"/>
              <w:ind w:left="116" w:right="114" w:hanging="2"/>
              <w:rPr>
                <w:color w:val="auto"/>
                <w:highlight w:val="none"/>
              </w:rPr>
            </w:pPr>
            <w:r>
              <w:rPr>
                <w:color w:val="auto"/>
                <w:spacing w:val="-3"/>
                <w:highlight w:val="none"/>
              </w:rPr>
              <w:t>计划合理、承诺满足要求得</w:t>
            </w:r>
            <w:r>
              <w:rPr>
                <w:color w:val="auto"/>
                <w:spacing w:val="-35"/>
                <w:highlight w:val="none"/>
              </w:rPr>
              <w:t xml:space="preserve"> </w:t>
            </w:r>
            <w:r>
              <w:rPr>
                <w:rFonts w:ascii="Times New Roman" w:hAnsi="Times New Roman" w:eastAsia="Times New Roman" w:cs="Times New Roman"/>
                <w:color w:val="auto"/>
                <w:spacing w:val="-3"/>
                <w:highlight w:val="none"/>
              </w:rPr>
              <w:t xml:space="preserve">3 </w:t>
            </w:r>
            <w:r>
              <w:rPr>
                <w:color w:val="auto"/>
                <w:spacing w:val="-3"/>
                <w:highlight w:val="none"/>
              </w:rPr>
              <w:t>分，其余酌情赋分，</w:t>
            </w:r>
            <w:r>
              <w:rPr>
                <w:color w:val="auto"/>
                <w:spacing w:val="-7"/>
                <w:highlight w:val="none"/>
              </w:rPr>
              <w:t>最低不低于</w:t>
            </w:r>
            <w:r>
              <w:rPr>
                <w:color w:val="auto"/>
                <w:spacing w:val="-22"/>
                <w:highlight w:val="none"/>
              </w:rPr>
              <w:t xml:space="preserve"> </w:t>
            </w:r>
            <w:r>
              <w:rPr>
                <w:rFonts w:ascii="Times New Roman" w:hAnsi="Times New Roman" w:eastAsia="Times New Roman" w:cs="Times New Roman"/>
                <w:color w:val="auto"/>
                <w:spacing w:val="-7"/>
                <w:highlight w:val="none"/>
              </w:rPr>
              <w:t xml:space="preserve">1.8 </w:t>
            </w:r>
            <w:r>
              <w:rPr>
                <w:color w:val="auto"/>
                <w:spacing w:val="-7"/>
                <w:highlight w:val="none"/>
              </w:rPr>
              <w:t>分，</w:t>
            </w:r>
            <w:r>
              <w:rPr>
                <w:color w:val="auto"/>
                <w:spacing w:val="-24"/>
                <w:highlight w:val="none"/>
              </w:rPr>
              <w:t xml:space="preserve"> </w:t>
            </w:r>
            <w:r>
              <w:rPr>
                <w:color w:val="auto"/>
                <w:spacing w:val="-7"/>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21" w:type="dxa"/>
            <w:vAlign w:val="top"/>
          </w:tcPr>
          <w:p>
            <w:pPr>
              <w:rPr>
                <w:rFonts w:ascii="Arial"/>
                <w:color w:val="auto"/>
                <w:sz w:val="21"/>
                <w:highlight w:val="none"/>
              </w:rPr>
            </w:pPr>
          </w:p>
        </w:tc>
        <w:tc>
          <w:tcPr>
            <w:tcW w:w="3126" w:type="dxa"/>
            <w:vAlign w:val="top"/>
          </w:tcPr>
          <w:p>
            <w:pPr>
              <w:pStyle w:val="118"/>
              <w:spacing w:before="296" w:line="220" w:lineRule="auto"/>
              <w:ind w:left="411"/>
              <w:rPr>
                <w:color w:val="auto"/>
                <w:highlight w:val="none"/>
              </w:rPr>
            </w:pPr>
            <w:r>
              <w:rPr>
                <w:color w:val="auto"/>
                <w:spacing w:val="-1"/>
                <w:highlight w:val="none"/>
              </w:rPr>
              <w:t>拟派项目组的配置和经验</w:t>
            </w:r>
          </w:p>
        </w:tc>
        <w:tc>
          <w:tcPr>
            <w:tcW w:w="719" w:type="dxa"/>
            <w:vAlign w:val="top"/>
          </w:tcPr>
          <w:p>
            <w:pPr>
              <w:spacing w:line="265" w:lineRule="auto"/>
              <w:rPr>
                <w:rFonts w:ascii="Arial"/>
                <w:color w:val="auto"/>
                <w:sz w:val="21"/>
                <w:highlight w:val="none"/>
              </w:rPr>
            </w:pPr>
          </w:p>
          <w:p>
            <w:pPr>
              <w:spacing w:before="61"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03" w:type="dxa"/>
            <w:vAlign w:val="top"/>
          </w:tcPr>
          <w:p>
            <w:pPr>
              <w:pStyle w:val="118"/>
              <w:spacing w:before="156" w:line="252" w:lineRule="auto"/>
              <w:ind w:left="115" w:right="104"/>
              <w:rPr>
                <w:color w:val="auto"/>
                <w:highlight w:val="none"/>
              </w:rPr>
            </w:pPr>
            <w:r>
              <w:rPr>
                <w:color w:val="auto"/>
                <w:spacing w:val="-3"/>
                <w:highlight w:val="none"/>
              </w:rPr>
              <w:t>人员满足工程要求、经验丰富得</w:t>
            </w:r>
            <w:r>
              <w:rPr>
                <w:color w:val="auto"/>
                <w:spacing w:val="-28"/>
                <w:highlight w:val="none"/>
              </w:rPr>
              <w:t xml:space="preserve"> </w:t>
            </w:r>
            <w:r>
              <w:rPr>
                <w:rFonts w:ascii="Times New Roman" w:hAnsi="Times New Roman" w:eastAsia="Times New Roman" w:cs="Times New Roman"/>
                <w:color w:val="auto"/>
                <w:spacing w:val="-3"/>
                <w:highlight w:val="none"/>
              </w:rPr>
              <w:t xml:space="preserve">3 </w:t>
            </w:r>
            <w:r>
              <w:rPr>
                <w:color w:val="auto"/>
                <w:spacing w:val="-3"/>
                <w:highlight w:val="none"/>
              </w:rPr>
              <w:t>分，其余酌情赋</w:t>
            </w:r>
            <w:r>
              <w:rPr>
                <w:color w:val="auto"/>
                <w:spacing w:val="-6"/>
                <w:highlight w:val="none"/>
              </w:rPr>
              <w:t>分，最低不低于</w:t>
            </w:r>
            <w:r>
              <w:rPr>
                <w:color w:val="auto"/>
                <w:spacing w:val="-27"/>
                <w:highlight w:val="none"/>
              </w:rPr>
              <w:t xml:space="preserve"> </w:t>
            </w:r>
            <w:r>
              <w:rPr>
                <w:rFonts w:ascii="Times New Roman" w:hAnsi="Times New Roman" w:eastAsia="Times New Roman" w:cs="Times New Roman"/>
                <w:color w:val="auto"/>
                <w:spacing w:val="-6"/>
                <w:highlight w:val="none"/>
              </w:rPr>
              <w:t xml:space="preserve">1.8 </w:t>
            </w:r>
            <w:r>
              <w:rPr>
                <w:color w:val="auto"/>
                <w:spacing w:val="-6"/>
                <w:highlight w:val="none"/>
              </w:rPr>
              <w:t>分，</w:t>
            </w:r>
            <w:r>
              <w:rPr>
                <w:color w:val="auto"/>
                <w:spacing w:val="-24"/>
                <w:highlight w:val="none"/>
              </w:rPr>
              <w:t xml:space="preserve"> </w:t>
            </w:r>
            <w:r>
              <w:rPr>
                <w:color w:val="auto"/>
                <w:spacing w:val="-6"/>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1" w:type="dxa"/>
            <w:vAlign w:val="top"/>
          </w:tcPr>
          <w:p>
            <w:pPr>
              <w:pStyle w:val="118"/>
              <w:spacing w:before="234" w:line="179" w:lineRule="auto"/>
              <w:ind w:left="314"/>
              <w:rPr>
                <w:rFonts w:hint="default" w:eastAsia="宋体"/>
                <w:color w:val="auto"/>
                <w:highlight w:val="none"/>
                <w:lang w:val="en-US" w:eastAsia="zh-CN"/>
              </w:rPr>
            </w:pPr>
            <w:r>
              <w:rPr>
                <w:rFonts w:hint="eastAsia"/>
                <w:color w:val="auto"/>
                <w:highlight w:val="none"/>
                <w:lang w:val="en-US" w:eastAsia="zh-CN"/>
                <w14:textOutline w14:w="3831" w14:cap="flat" w14:cmpd="sng">
                  <w14:solidFill>
                    <w14:srgbClr w14:val="000000"/>
                  </w14:solidFill>
                  <w14:prstDash w14:val="solid"/>
                  <w14:miter w14:val="0"/>
                </w14:textOutline>
              </w:rPr>
              <w:t>2.2</w:t>
            </w:r>
          </w:p>
        </w:tc>
        <w:tc>
          <w:tcPr>
            <w:tcW w:w="3126" w:type="dxa"/>
            <w:vAlign w:val="top"/>
          </w:tcPr>
          <w:p>
            <w:pPr>
              <w:pStyle w:val="118"/>
              <w:spacing w:before="194" w:line="221" w:lineRule="auto"/>
              <w:ind w:left="617"/>
              <w:rPr>
                <w:color w:val="auto"/>
                <w:highlight w:val="none"/>
              </w:rPr>
            </w:pPr>
            <w:r>
              <w:rPr>
                <w:color w:val="auto"/>
                <w:highlight w:val="none"/>
                <w14:textOutline w14:w="3831" w14:cap="flat" w14:cmpd="sng">
                  <w14:solidFill>
                    <w14:srgbClr w14:val="000000"/>
                  </w14:solidFill>
                  <w14:prstDash w14:val="solid"/>
                  <w14:miter w14:val="0"/>
                </w14:textOutline>
              </w:rPr>
              <w:t>服务说明和服务方案</w:t>
            </w:r>
          </w:p>
        </w:tc>
        <w:tc>
          <w:tcPr>
            <w:tcW w:w="719" w:type="dxa"/>
            <w:vAlign w:val="top"/>
          </w:tcPr>
          <w:p>
            <w:pPr>
              <w:spacing w:before="234" w:line="187" w:lineRule="auto"/>
              <w:ind w:left="256"/>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1"/>
                <w:sz w:val="21"/>
                <w:szCs w:val="21"/>
                <w:highlight w:val="none"/>
              </w:rPr>
              <w:t>21</w:t>
            </w:r>
          </w:p>
        </w:tc>
        <w:tc>
          <w:tcPr>
            <w:tcW w:w="480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821" w:type="dxa"/>
            <w:vAlign w:val="top"/>
          </w:tcPr>
          <w:p>
            <w:pPr>
              <w:rPr>
                <w:rFonts w:ascii="Arial"/>
                <w:color w:val="auto"/>
                <w:sz w:val="21"/>
                <w:highlight w:val="none"/>
              </w:rPr>
            </w:pPr>
          </w:p>
        </w:tc>
        <w:tc>
          <w:tcPr>
            <w:tcW w:w="3126" w:type="dxa"/>
            <w:vAlign w:val="top"/>
          </w:tcPr>
          <w:p>
            <w:pPr>
              <w:spacing w:line="307" w:lineRule="auto"/>
              <w:rPr>
                <w:rFonts w:ascii="Arial"/>
                <w:color w:val="auto"/>
                <w:sz w:val="21"/>
                <w:highlight w:val="none"/>
              </w:rPr>
            </w:pPr>
          </w:p>
          <w:p>
            <w:pPr>
              <w:pStyle w:val="118"/>
              <w:spacing w:before="68" w:line="221" w:lineRule="auto"/>
              <w:ind w:left="412"/>
              <w:rPr>
                <w:color w:val="auto"/>
                <w:highlight w:val="none"/>
              </w:rPr>
            </w:pPr>
            <w:r>
              <w:rPr>
                <w:color w:val="auto"/>
                <w:spacing w:val="-1"/>
                <w:highlight w:val="none"/>
              </w:rPr>
              <w:t>监测及验收服务工作大纲</w:t>
            </w:r>
          </w:p>
        </w:tc>
        <w:tc>
          <w:tcPr>
            <w:tcW w:w="719" w:type="dxa"/>
            <w:vAlign w:val="top"/>
          </w:tcPr>
          <w:p>
            <w:pPr>
              <w:spacing w:line="346" w:lineRule="auto"/>
              <w:rPr>
                <w:rFonts w:ascii="Arial"/>
                <w:color w:val="auto"/>
                <w:sz w:val="21"/>
                <w:highlight w:val="none"/>
              </w:rPr>
            </w:pPr>
          </w:p>
          <w:p>
            <w:pPr>
              <w:spacing w:before="61" w:line="187" w:lineRule="auto"/>
              <w:ind w:left="31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4803" w:type="dxa"/>
            <w:vAlign w:val="top"/>
          </w:tcPr>
          <w:p>
            <w:pPr>
              <w:pStyle w:val="118"/>
              <w:spacing w:before="76" w:line="257" w:lineRule="auto"/>
              <w:ind w:left="114" w:right="102" w:hanging="1"/>
              <w:rPr>
                <w:color w:val="auto"/>
                <w:highlight w:val="none"/>
              </w:rPr>
            </w:pPr>
            <w:r>
              <w:rPr>
                <w:color w:val="auto"/>
                <w:spacing w:val="-1"/>
                <w:highlight w:val="none"/>
              </w:rPr>
              <w:t>对本项目理解和建设条件认识的基础上提出的工</w:t>
            </w:r>
            <w:r>
              <w:rPr>
                <w:color w:val="auto"/>
                <w:spacing w:val="-9"/>
                <w:highlight w:val="none"/>
              </w:rPr>
              <w:t>作大纲可行，得</w:t>
            </w:r>
            <w:r>
              <w:rPr>
                <w:color w:val="auto"/>
                <w:spacing w:val="-36"/>
                <w:highlight w:val="none"/>
              </w:rPr>
              <w:t xml:space="preserve"> </w:t>
            </w:r>
            <w:r>
              <w:rPr>
                <w:color w:val="auto"/>
                <w:spacing w:val="-9"/>
                <w:highlight w:val="none"/>
              </w:rPr>
              <w:t>5-6</w:t>
            </w:r>
            <w:r>
              <w:rPr>
                <w:color w:val="auto"/>
                <w:spacing w:val="-44"/>
                <w:highlight w:val="none"/>
              </w:rPr>
              <w:t xml:space="preserve"> </w:t>
            </w:r>
            <w:r>
              <w:rPr>
                <w:color w:val="auto"/>
                <w:spacing w:val="-9"/>
                <w:highlight w:val="none"/>
              </w:rPr>
              <w:t>分；</w:t>
            </w:r>
            <w:r>
              <w:rPr>
                <w:color w:val="auto"/>
                <w:spacing w:val="-37"/>
                <w:highlight w:val="none"/>
              </w:rPr>
              <w:t xml:space="preserve"> </w:t>
            </w:r>
            <w:r>
              <w:rPr>
                <w:color w:val="auto"/>
                <w:spacing w:val="-9"/>
                <w:highlight w:val="none"/>
              </w:rPr>
              <w:t>其余酌情赋分，</w:t>
            </w:r>
            <w:r>
              <w:rPr>
                <w:color w:val="auto"/>
                <w:spacing w:val="-32"/>
                <w:highlight w:val="none"/>
              </w:rPr>
              <w:t xml:space="preserve"> </w:t>
            </w:r>
            <w:r>
              <w:rPr>
                <w:color w:val="auto"/>
                <w:spacing w:val="-9"/>
                <w:highlight w:val="none"/>
              </w:rPr>
              <w:t>最低不低</w:t>
            </w:r>
            <w:r>
              <w:rPr>
                <w:color w:val="auto"/>
                <w:spacing w:val="-8"/>
                <w:highlight w:val="none"/>
              </w:rPr>
              <w:t>于</w:t>
            </w:r>
            <w:r>
              <w:rPr>
                <w:color w:val="auto"/>
                <w:spacing w:val="-38"/>
                <w:highlight w:val="none"/>
              </w:rPr>
              <w:t xml:space="preserve"> </w:t>
            </w:r>
            <w:r>
              <w:rPr>
                <w:rFonts w:ascii="Times New Roman" w:hAnsi="Times New Roman" w:eastAsia="Times New Roman" w:cs="Times New Roman"/>
                <w:color w:val="auto"/>
                <w:spacing w:val="-8"/>
                <w:highlight w:val="none"/>
              </w:rPr>
              <w:t xml:space="preserve">3.6 </w:t>
            </w:r>
            <w:r>
              <w:rPr>
                <w:color w:val="auto"/>
                <w:spacing w:val="-8"/>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vAlign w:val="top"/>
          </w:tcPr>
          <w:p>
            <w:pPr>
              <w:rPr>
                <w:rFonts w:ascii="Arial"/>
                <w:color w:val="auto"/>
                <w:sz w:val="21"/>
                <w:highlight w:val="none"/>
              </w:rPr>
            </w:pPr>
          </w:p>
        </w:tc>
        <w:tc>
          <w:tcPr>
            <w:tcW w:w="3126" w:type="dxa"/>
            <w:vAlign w:val="top"/>
          </w:tcPr>
          <w:p>
            <w:pPr>
              <w:spacing w:line="307" w:lineRule="auto"/>
              <w:rPr>
                <w:rFonts w:ascii="Arial"/>
                <w:color w:val="auto"/>
                <w:sz w:val="21"/>
                <w:highlight w:val="none"/>
              </w:rPr>
            </w:pPr>
          </w:p>
          <w:p>
            <w:pPr>
              <w:pStyle w:val="118"/>
              <w:spacing w:before="69" w:line="221" w:lineRule="auto"/>
              <w:ind w:left="412"/>
              <w:rPr>
                <w:color w:val="auto"/>
                <w:highlight w:val="none"/>
              </w:rPr>
            </w:pPr>
            <w:r>
              <w:rPr>
                <w:color w:val="auto"/>
                <w:spacing w:val="-1"/>
                <w:highlight w:val="none"/>
              </w:rPr>
              <w:t>监测及验收服务工作思路</w:t>
            </w:r>
          </w:p>
        </w:tc>
        <w:tc>
          <w:tcPr>
            <w:tcW w:w="719" w:type="dxa"/>
            <w:vAlign w:val="top"/>
          </w:tcPr>
          <w:p>
            <w:pPr>
              <w:spacing w:line="347" w:lineRule="auto"/>
              <w:rPr>
                <w:rFonts w:ascii="Arial"/>
                <w:color w:val="auto"/>
                <w:sz w:val="21"/>
                <w:highlight w:val="none"/>
              </w:rPr>
            </w:pPr>
          </w:p>
          <w:p>
            <w:pPr>
              <w:spacing w:before="60" w:line="187" w:lineRule="auto"/>
              <w:ind w:left="31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4803" w:type="dxa"/>
            <w:vAlign w:val="top"/>
          </w:tcPr>
          <w:p>
            <w:pPr>
              <w:pStyle w:val="118"/>
              <w:spacing w:before="79" w:line="257" w:lineRule="auto"/>
              <w:ind w:left="114" w:right="102" w:firstLine="2"/>
              <w:jc w:val="both"/>
              <w:rPr>
                <w:color w:val="auto"/>
                <w:highlight w:val="none"/>
              </w:rPr>
            </w:pPr>
            <w:r>
              <w:rPr>
                <w:color w:val="auto"/>
                <w:spacing w:val="-2"/>
                <w:highlight w:val="none"/>
              </w:rPr>
              <w:t>投标人整体监测及验收服务工作思路是否清晰。整</w:t>
            </w:r>
            <w:r>
              <w:rPr>
                <w:color w:val="auto"/>
                <w:spacing w:val="1"/>
                <w:highlight w:val="none"/>
              </w:rPr>
              <w:t xml:space="preserve"> </w:t>
            </w:r>
            <w:r>
              <w:rPr>
                <w:color w:val="auto"/>
                <w:spacing w:val="-4"/>
                <w:highlight w:val="none"/>
              </w:rPr>
              <w:t>体思路清晰，得</w:t>
            </w:r>
            <w:r>
              <w:rPr>
                <w:color w:val="auto"/>
                <w:spacing w:val="-41"/>
                <w:highlight w:val="none"/>
              </w:rPr>
              <w:t xml:space="preserve"> </w:t>
            </w:r>
            <w:r>
              <w:rPr>
                <w:rFonts w:ascii="Times New Roman" w:hAnsi="Times New Roman" w:eastAsia="Times New Roman" w:cs="Times New Roman"/>
                <w:color w:val="auto"/>
                <w:spacing w:val="-4"/>
                <w:highlight w:val="none"/>
              </w:rPr>
              <w:t xml:space="preserve">5-6 </w:t>
            </w:r>
            <w:r>
              <w:rPr>
                <w:color w:val="auto"/>
                <w:spacing w:val="-4"/>
                <w:highlight w:val="none"/>
              </w:rPr>
              <w:t>分；</w:t>
            </w:r>
            <w:r>
              <w:rPr>
                <w:color w:val="auto"/>
                <w:spacing w:val="-25"/>
                <w:highlight w:val="none"/>
              </w:rPr>
              <w:t xml:space="preserve"> </w:t>
            </w:r>
            <w:r>
              <w:rPr>
                <w:color w:val="auto"/>
                <w:spacing w:val="-4"/>
                <w:highlight w:val="none"/>
              </w:rPr>
              <w:t>其余酌情赋分最低不低于</w:t>
            </w:r>
            <w:r>
              <w:rPr>
                <w:color w:val="auto"/>
                <w:highlight w:val="none"/>
              </w:rPr>
              <w:t xml:space="preserve"> </w:t>
            </w:r>
            <w:r>
              <w:rPr>
                <w:rFonts w:ascii="Times New Roman" w:hAnsi="Times New Roman" w:eastAsia="Times New Roman" w:cs="Times New Roman"/>
                <w:color w:val="auto"/>
                <w:spacing w:val="-1"/>
                <w:highlight w:val="none"/>
              </w:rPr>
              <w:t xml:space="preserve">3.6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21" w:type="dxa"/>
            <w:vAlign w:val="top"/>
          </w:tcPr>
          <w:p>
            <w:pPr>
              <w:rPr>
                <w:rFonts w:ascii="Arial"/>
                <w:color w:val="auto"/>
                <w:sz w:val="21"/>
                <w:highlight w:val="none"/>
              </w:rPr>
            </w:pPr>
          </w:p>
        </w:tc>
        <w:tc>
          <w:tcPr>
            <w:tcW w:w="3126" w:type="dxa"/>
            <w:vAlign w:val="top"/>
          </w:tcPr>
          <w:p>
            <w:pPr>
              <w:pStyle w:val="118"/>
              <w:spacing w:before="306" w:line="221" w:lineRule="auto"/>
              <w:ind w:left="621"/>
              <w:rPr>
                <w:color w:val="auto"/>
                <w:highlight w:val="none"/>
              </w:rPr>
            </w:pPr>
            <w:r>
              <w:rPr>
                <w:color w:val="auto"/>
                <w:spacing w:val="-1"/>
                <w:highlight w:val="none"/>
              </w:rPr>
              <w:t>监测及验收工作流程</w:t>
            </w:r>
          </w:p>
        </w:tc>
        <w:tc>
          <w:tcPr>
            <w:tcW w:w="719" w:type="dxa"/>
            <w:vAlign w:val="top"/>
          </w:tcPr>
          <w:p>
            <w:pPr>
              <w:spacing w:line="276" w:lineRule="auto"/>
              <w:rPr>
                <w:rFonts w:ascii="Arial"/>
                <w:color w:val="auto"/>
                <w:sz w:val="21"/>
                <w:highlight w:val="none"/>
              </w:rPr>
            </w:pPr>
          </w:p>
          <w:p>
            <w:pPr>
              <w:spacing w:before="60" w:line="187" w:lineRule="auto"/>
              <w:ind w:left="31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4803" w:type="dxa"/>
            <w:vAlign w:val="top"/>
          </w:tcPr>
          <w:p>
            <w:pPr>
              <w:pStyle w:val="118"/>
              <w:spacing w:before="166" w:line="252" w:lineRule="auto"/>
              <w:ind w:left="116" w:right="44"/>
              <w:rPr>
                <w:color w:val="auto"/>
                <w:highlight w:val="none"/>
              </w:rPr>
            </w:pPr>
            <w:r>
              <w:rPr>
                <w:color w:val="auto"/>
                <w:spacing w:val="-8"/>
                <w:highlight w:val="none"/>
              </w:rPr>
              <w:t>工作流程合理、方案可行得</w:t>
            </w:r>
            <w:r>
              <w:rPr>
                <w:color w:val="auto"/>
                <w:spacing w:val="-31"/>
                <w:highlight w:val="none"/>
              </w:rPr>
              <w:t xml:space="preserve"> </w:t>
            </w:r>
            <w:r>
              <w:rPr>
                <w:rFonts w:ascii="Times New Roman" w:hAnsi="Times New Roman" w:eastAsia="Times New Roman" w:cs="Times New Roman"/>
                <w:color w:val="auto"/>
                <w:spacing w:val="-8"/>
                <w:highlight w:val="none"/>
              </w:rPr>
              <w:t>5-6</w:t>
            </w:r>
            <w:r>
              <w:rPr>
                <w:rFonts w:ascii="Times New Roman" w:hAnsi="Times New Roman" w:eastAsia="Times New Roman" w:cs="Times New Roman"/>
                <w:color w:val="auto"/>
                <w:spacing w:val="11"/>
                <w:highlight w:val="none"/>
              </w:rPr>
              <w:t xml:space="preserve"> </w:t>
            </w:r>
            <w:r>
              <w:rPr>
                <w:color w:val="auto"/>
                <w:spacing w:val="-8"/>
                <w:highlight w:val="none"/>
              </w:rPr>
              <w:t>分，其余酌情赋分，</w:t>
            </w:r>
            <w:r>
              <w:rPr>
                <w:color w:val="auto"/>
                <w:highlight w:val="none"/>
              </w:rPr>
              <w:t xml:space="preserve"> </w:t>
            </w:r>
            <w:r>
              <w:rPr>
                <w:color w:val="auto"/>
                <w:spacing w:val="-6"/>
                <w:highlight w:val="none"/>
              </w:rPr>
              <w:t>最低不低于</w:t>
            </w:r>
            <w:r>
              <w:rPr>
                <w:color w:val="auto"/>
                <w:spacing w:val="-39"/>
                <w:highlight w:val="none"/>
              </w:rPr>
              <w:t xml:space="preserve"> </w:t>
            </w:r>
            <w:r>
              <w:rPr>
                <w:rFonts w:ascii="Times New Roman" w:hAnsi="Times New Roman" w:eastAsia="Times New Roman" w:cs="Times New Roman"/>
                <w:color w:val="auto"/>
                <w:spacing w:val="-6"/>
                <w:highlight w:val="none"/>
              </w:rPr>
              <w:t xml:space="preserve">3.6 </w:t>
            </w:r>
            <w:r>
              <w:rPr>
                <w:color w:val="auto"/>
                <w:spacing w:val="-6"/>
                <w:highlight w:val="none"/>
              </w:rPr>
              <w:t>分，</w:t>
            </w:r>
            <w:r>
              <w:rPr>
                <w:color w:val="auto"/>
                <w:spacing w:val="-24"/>
                <w:highlight w:val="none"/>
              </w:rPr>
              <w:t xml:space="preserve"> </w:t>
            </w:r>
            <w:r>
              <w:rPr>
                <w:color w:val="auto"/>
                <w:spacing w:val="-6"/>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21" w:type="dxa"/>
            <w:vAlign w:val="top"/>
          </w:tcPr>
          <w:p>
            <w:pPr>
              <w:rPr>
                <w:rFonts w:ascii="Arial"/>
                <w:color w:val="auto"/>
                <w:sz w:val="21"/>
                <w:highlight w:val="none"/>
              </w:rPr>
            </w:pPr>
          </w:p>
        </w:tc>
        <w:tc>
          <w:tcPr>
            <w:tcW w:w="3126" w:type="dxa"/>
            <w:vAlign w:val="top"/>
          </w:tcPr>
          <w:p>
            <w:pPr>
              <w:pStyle w:val="118"/>
              <w:spacing w:before="309" w:line="221" w:lineRule="auto"/>
              <w:ind w:left="622"/>
              <w:rPr>
                <w:color w:val="auto"/>
                <w:highlight w:val="none"/>
              </w:rPr>
            </w:pPr>
            <w:r>
              <w:rPr>
                <w:color w:val="auto"/>
                <w:spacing w:val="-1"/>
                <w:highlight w:val="none"/>
              </w:rPr>
              <w:t>工作重点、难点分析</w:t>
            </w:r>
          </w:p>
        </w:tc>
        <w:tc>
          <w:tcPr>
            <w:tcW w:w="719" w:type="dxa"/>
            <w:vAlign w:val="top"/>
          </w:tcPr>
          <w:p>
            <w:pPr>
              <w:spacing w:line="278" w:lineRule="auto"/>
              <w:rPr>
                <w:rFonts w:ascii="Arial"/>
                <w:color w:val="auto"/>
                <w:sz w:val="21"/>
                <w:highlight w:val="none"/>
              </w:rPr>
            </w:pPr>
          </w:p>
          <w:p>
            <w:pPr>
              <w:spacing w:before="61" w:line="187" w:lineRule="auto"/>
              <w:ind w:left="3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803" w:type="dxa"/>
            <w:vAlign w:val="top"/>
          </w:tcPr>
          <w:p>
            <w:pPr>
              <w:pStyle w:val="118"/>
              <w:spacing w:before="169" w:line="251" w:lineRule="auto"/>
              <w:ind w:left="116" w:right="118"/>
              <w:rPr>
                <w:color w:val="auto"/>
                <w:highlight w:val="none"/>
              </w:rPr>
            </w:pPr>
            <w:r>
              <w:rPr>
                <w:color w:val="auto"/>
                <w:spacing w:val="-6"/>
                <w:highlight w:val="none"/>
              </w:rPr>
              <w:t>分析深刻得当的得</w:t>
            </w:r>
            <w:r>
              <w:rPr>
                <w:color w:val="auto"/>
                <w:spacing w:val="-33"/>
                <w:highlight w:val="none"/>
              </w:rPr>
              <w:t xml:space="preserve"> </w:t>
            </w:r>
            <w:r>
              <w:rPr>
                <w:rFonts w:ascii="Times New Roman" w:hAnsi="Times New Roman" w:eastAsia="Times New Roman" w:cs="Times New Roman"/>
                <w:color w:val="auto"/>
                <w:spacing w:val="-6"/>
                <w:highlight w:val="none"/>
              </w:rPr>
              <w:t xml:space="preserve">3 </w:t>
            </w:r>
            <w:r>
              <w:rPr>
                <w:color w:val="auto"/>
                <w:spacing w:val="-6"/>
                <w:highlight w:val="none"/>
              </w:rPr>
              <w:t>分，</w:t>
            </w:r>
            <w:r>
              <w:rPr>
                <w:color w:val="auto"/>
                <w:spacing w:val="-45"/>
                <w:highlight w:val="none"/>
              </w:rPr>
              <w:t xml:space="preserve"> </w:t>
            </w:r>
            <w:r>
              <w:rPr>
                <w:color w:val="auto"/>
                <w:spacing w:val="-6"/>
                <w:highlight w:val="none"/>
              </w:rPr>
              <w:t>其余酌情赋分，最低不低</w:t>
            </w:r>
            <w:r>
              <w:rPr>
                <w:color w:val="auto"/>
                <w:spacing w:val="-9"/>
                <w:highlight w:val="none"/>
              </w:rPr>
              <w:t>于</w:t>
            </w:r>
            <w:r>
              <w:rPr>
                <w:color w:val="auto"/>
                <w:spacing w:val="-27"/>
                <w:highlight w:val="none"/>
              </w:rPr>
              <w:t xml:space="preserve"> </w:t>
            </w:r>
            <w:r>
              <w:rPr>
                <w:rFonts w:ascii="Times New Roman" w:hAnsi="Times New Roman" w:eastAsia="Times New Roman" w:cs="Times New Roman"/>
                <w:color w:val="auto"/>
                <w:spacing w:val="-9"/>
                <w:highlight w:val="none"/>
              </w:rPr>
              <w:t xml:space="preserve">1.8 </w:t>
            </w:r>
            <w:r>
              <w:rPr>
                <w:color w:val="auto"/>
                <w:spacing w:val="-9"/>
                <w:highlight w:val="none"/>
              </w:rPr>
              <w:t>分，</w:t>
            </w:r>
            <w:r>
              <w:rPr>
                <w:color w:val="auto"/>
                <w:spacing w:val="-24"/>
                <w:highlight w:val="none"/>
              </w:rPr>
              <w:t xml:space="preserve"> </w:t>
            </w:r>
            <w:r>
              <w:rPr>
                <w:color w:val="auto"/>
                <w:spacing w:val="-9"/>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1" w:type="dxa"/>
            <w:vAlign w:val="top"/>
          </w:tcPr>
          <w:p>
            <w:pPr>
              <w:pStyle w:val="118"/>
              <w:spacing w:before="221" w:line="225" w:lineRule="auto"/>
              <w:ind w:left="312"/>
              <w:rPr>
                <w:rFonts w:hint="default"/>
                <w:b/>
                <w:bCs/>
                <w:color w:val="auto"/>
                <w:highlight w:val="none"/>
                <w:lang w:val="en-US" w:eastAsia="zh-CN"/>
              </w:rPr>
            </w:pPr>
            <w:r>
              <w:rPr>
                <w:rFonts w:hint="eastAsia"/>
                <w:b/>
                <w:bCs/>
                <w:color w:val="auto"/>
                <w:highlight w:val="none"/>
                <w:lang w:val="en-US" w:eastAsia="zh-CN"/>
              </w:rPr>
              <w:t>三</w:t>
            </w:r>
          </w:p>
        </w:tc>
        <w:tc>
          <w:tcPr>
            <w:tcW w:w="3126" w:type="dxa"/>
            <w:vAlign w:val="top"/>
          </w:tcPr>
          <w:p>
            <w:pPr>
              <w:pStyle w:val="118"/>
              <w:spacing w:before="220" w:line="221" w:lineRule="auto"/>
              <w:ind w:left="516"/>
              <w:rPr>
                <w:color w:val="auto"/>
                <w:highlight w:val="none"/>
              </w:rPr>
            </w:pPr>
            <w:r>
              <w:rPr>
                <w:color w:val="auto"/>
                <w:spacing w:val="-1"/>
                <w:highlight w:val="none"/>
                <w14:textOutline w14:w="3831" w14:cap="flat" w14:cmpd="sng">
                  <w14:solidFill>
                    <w14:srgbClr w14:val="000000"/>
                  </w14:solidFill>
                  <w14:prstDash w14:val="solid"/>
                  <w14:miter w14:val="0"/>
                </w14:textOutline>
              </w:rPr>
              <w:t>安全、保密等保证措施</w:t>
            </w:r>
          </w:p>
        </w:tc>
        <w:tc>
          <w:tcPr>
            <w:tcW w:w="719" w:type="dxa"/>
            <w:vAlign w:val="top"/>
          </w:tcPr>
          <w:p>
            <w:pPr>
              <w:spacing w:before="259" w:line="187" w:lineRule="auto"/>
              <w:ind w:left="309"/>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z w:val="21"/>
                <w:szCs w:val="21"/>
                <w:highlight w:val="none"/>
              </w:rPr>
              <w:t>2</w:t>
            </w:r>
          </w:p>
        </w:tc>
        <w:tc>
          <w:tcPr>
            <w:tcW w:w="4803" w:type="dxa"/>
            <w:vAlign w:val="top"/>
          </w:tcPr>
          <w:p>
            <w:pPr>
              <w:pStyle w:val="118"/>
              <w:spacing w:before="84" w:line="245" w:lineRule="auto"/>
              <w:ind w:left="116" w:right="104" w:hanging="1"/>
              <w:rPr>
                <w:color w:val="auto"/>
                <w:highlight w:val="none"/>
              </w:rPr>
            </w:pPr>
            <w:r>
              <w:rPr>
                <w:color w:val="auto"/>
                <w:spacing w:val="-6"/>
                <w:highlight w:val="none"/>
              </w:rPr>
              <w:t>保证措施可行得</w:t>
            </w:r>
            <w:r>
              <w:rPr>
                <w:color w:val="auto"/>
                <w:spacing w:val="-60"/>
                <w:highlight w:val="none"/>
              </w:rPr>
              <w:t xml:space="preserve"> </w:t>
            </w:r>
            <w:r>
              <w:rPr>
                <w:rFonts w:ascii="Times New Roman" w:hAnsi="Times New Roman" w:eastAsia="Times New Roman" w:cs="Times New Roman"/>
                <w:color w:val="auto"/>
                <w:spacing w:val="-6"/>
                <w:highlight w:val="none"/>
              </w:rPr>
              <w:t xml:space="preserve">2 </w:t>
            </w:r>
            <w:r>
              <w:rPr>
                <w:color w:val="auto"/>
                <w:spacing w:val="-6"/>
                <w:highlight w:val="none"/>
              </w:rPr>
              <w:t>分，其余酌情赋分最低不低</w:t>
            </w:r>
            <w:r>
              <w:rPr>
                <w:color w:val="auto"/>
                <w:spacing w:val="-7"/>
                <w:highlight w:val="none"/>
              </w:rPr>
              <w:t>于</w:t>
            </w:r>
            <w:r>
              <w:rPr>
                <w:color w:val="auto"/>
                <w:spacing w:val="-39"/>
                <w:highlight w:val="none"/>
              </w:rPr>
              <w:t xml:space="preserve"> </w:t>
            </w:r>
            <w:r>
              <w:rPr>
                <w:rFonts w:ascii="Times New Roman" w:hAnsi="Times New Roman" w:eastAsia="Times New Roman" w:cs="Times New Roman"/>
                <w:color w:val="auto"/>
                <w:spacing w:val="-7"/>
                <w:highlight w:val="none"/>
              </w:rPr>
              <w:t>1.2</w:t>
            </w:r>
            <w:r>
              <w:rPr>
                <w:rFonts w:ascii="Times New Roman" w:hAnsi="Times New Roman" w:eastAsia="Times New Roman" w:cs="Times New Roman"/>
                <w:color w:val="auto"/>
                <w:highlight w:val="none"/>
              </w:rPr>
              <w:t xml:space="preserve"> </w:t>
            </w:r>
            <w:r>
              <w:rPr>
                <w:color w:val="auto"/>
                <w:spacing w:val="-1"/>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21" w:type="dxa"/>
            <w:vAlign w:val="top"/>
          </w:tcPr>
          <w:p>
            <w:pPr>
              <w:pStyle w:val="118"/>
              <w:spacing w:before="221" w:line="225" w:lineRule="auto"/>
              <w:ind w:left="312"/>
              <w:rPr>
                <w:rFonts w:hint="default"/>
                <w:b/>
                <w:bCs/>
                <w:color w:val="auto"/>
                <w:highlight w:val="none"/>
                <w:lang w:val="en-US" w:eastAsia="zh-CN"/>
              </w:rPr>
            </w:pPr>
            <w:r>
              <w:rPr>
                <w:rFonts w:hint="eastAsia"/>
                <w:b/>
                <w:bCs/>
                <w:color w:val="auto"/>
                <w:highlight w:val="none"/>
                <w:lang w:val="en-US" w:eastAsia="zh-CN"/>
              </w:rPr>
              <w:t>四</w:t>
            </w:r>
          </w:p>
        </w:tc>
        <w:tc>
          <w:tcPr>
            <w:tcW w:w="3126" w:type="dxa"/>
            <w:vAlign w:val="top"/>
          </w:tcPr>
          <w:p>
            <w:pPr>
              <w:pStyle w:val="118"/>
              <w:spacing w:before="221" w:line="221" w:lineRule="auto"/>
              <w:ind w:left="935"/>
              <w:rPr>
                <w:color w:val="auto"/>
                <w:highlight w:val="none"/>
              </w:rPr>
            </w:pPr>
            <w:r>
              <w:rPr>
                <w:color w:val="auto"/>
                <w:spacing w:val="-1"/>
                <w:highlight w:val="none"/>
                <w14:textOutline w14:w="3831" w14:cap="flat" w14:cmpd="sng">
                  <w14:solidFill>
                    <w14:srgbClr w14:val="000000"/>
                  </w14:solidFill>
                  <w14:prstDash w14:val="solid"/>
                  <w14:miter w14:val="0"/>
                </w14:textOutline>
              </w:rPr>
              <w:t>质量内控制度</w:t>
            </w:r>
          </w:p>
        </w:tc>
        <w:tc>
          <w:tcPr>
            <w:tcW w:w="719" w:type="dxa"/>
            <w:vAlign w:val="top"/>
          </w:tcPr>
          <w:p>
            <w:pPr>
              <w:spacing w:before="257" w:line="187" w:lineRule="auto"/>
              <w:ind w:left="307"/>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z w:val="21"/>
                <w:szCs w:val="21"/>
                <w:highlight w:val="none"/>
              </w:rPr>
              <w:t>3</w:t>
            </w:r>
          </w:p>
        </w:tc>
        <w:tc>
          <w:tcPr>
            <w:tcW w:w="4803" w:type="dxa"/>
            <w:vAlign w:val="top"/>
          </w:tcPr>
          <w:p>
            <w:pPr>
              <w:pStyle w:val="118"/>
              <w:spacing w:before="82" w:line="245" w:lineRule="auto"/>
              <w:ind w:left="115" w:right="102"/>
              <w:rPr>
                <w:color w:val="auto"/>
                <w:highlight w:val="none"/>
              </w:rPr>
            </w:pPr>
            <w:r>
              <w:rPr>
                <w:color w:val="auto"/>
                <w:spacing w:val="-5"/>
                <w:highlight w:val="none"/>
              </w:rPr>
              <w:t>质量控制有效可行且有针对性的得</w:t>
            </w:r>
            <w:r>
              <w:rPr>
                <w:color w:val="auto"/>
                <w:spacing w:val="-31"/>
                <w:highlight w:val="none"/>
              </w:rPr>
              <w:t xml:space="preserve"> </w:t>
            </w:r>
            <w:r>
              <w:rPr>
                <w:color w:val="auto"/>
                <w:spacing w:val="-5"/>
                <w:highlight w:val="none"/>
              </w:rPr>
              <w:t>3 分，其余酌情</w:t>
            </w:r>
            <w:r>
              <w:rPr>
                <w:color w:val="auto"/>
                <w:spacing w:val="-8"/>
                <w:highlight w:val="none"/>
              </w:rPr>
              <w:t>赋分，最低不低于</w:t>
            </w:r>
            <w:r>
              <w:rPr>
                <w:color w:val="auto"/>
                <w:spacing w:val="-16"/>
                <w:highlight w:val="none"/>
              </w:rPr>
              <w:t xml:space="preserve"> </w:t>
            </w:r>
            <w:r>
              <w:rPr>
                <w:rFonts w:ascii="Times New Roman" w:hAnsi="Times New Roman" w:eastAsia="Times New Roman" w:cs="Times New Roman"/>
                <w:color w:val="auto"/>
                <w:spacing w:val="-8"/>
                <w:highlight w:val="none"/>
              </w:rPr>
              <w:t>1.8</w:t>
            </w:r>
            <w:r>
              <w:rPr>
                <w:rFonts w:ascii="Times New Roman" w:hAnsi="Times New Roman" w:eastAsia="Times New Roman" w:cs="Times New Roman"/>
                <w:color w:val="auto"/>
                <w:spacing w:val="11"/>
                <w:highlight w:val="none"/>
              </w:rPr>
              <w:t xml:space="preserve"> </w:t>
            </w:r>
            <w:r>
              <w:rPr>
                <w:color w:val="auto"/>
                <w:spacing w:val="-8"/>
                <w:highlight w:val="none"/>
              </w:rPr>
              <w:t>分，没有不得分。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21" w:type="dxa"/>
            <w:vAlign w:val="top"/>
          </w:tcPr>
          <w:p>
            <w:pPr>
              <w:pStyle w:val="118"/>
              <w:spacing w:before="221" w:line="225" w:lineRule="auto"/>
              <w:ind w:left="312"/>
              <w:rPr>
                <w:rFonts w:hint="default"/>
                <w:b/>
                <w:bCs/>
                <w:color w:val="auto"/>
                <w:highlight w:val="none"/>
                <w:lang w:val="en-US" w:eastAsia="zh-CN"/>
              </w:rPr>
            </w:pPr>
            <w:r>
              <w:rPr>
                <w:rFonts w:hint="eastAsia"/>
                <w:b/>
                <w:bCs/>
                <w:color w:val="auto"/>
                <w:highlight w:val="none"/>
                <w:lang w:val="en-US" w:eastAsia="zh-CN"/>
              </w:rPr>
              <w:t>五</w:t>
            </w:r>
          </w:p>
        </w:tc>
        <w:tc>
          <w:tcPr>
            <w:tcW w:w="3126" w:type="dxa"/>
            <w:vAlign w:val="top"/>
          </w:tcPr>
          <w:p>
            <w:pPr>
              <w:pStyle w:val="118"/>
              <w:spacing w:before="222" w:line="221" w:lineRule="auto"/>
              <w:ind w:left="932"/>
              <w:rPr>
                <w:color w:val="auto"/>
                <w:highlight w:val="none"/>
              </w:rPr>
            </w:pPr>
            <w:r>
              <w:rPr>
                <w:color w:val="auto"/>
                <w:highlight w:val="none"/>
                <w14:textOutline w14:w="3831" w14:cap="flat" w14:cmpd="sng">
                  <w14:solidFill>
                    <w14:srgbClr w14:val="000000"/>
                  </w14:solidFill>
                  <w14:prstDash w14:val="solid"/>
                  <w14:miter w14:val="0"/>
                </w14:textOutline>
              </w:rPr>
              <w:t>进度保证措施</w:t>
            </w:r>
          </w:p>
        </w:tc>
        <w:tc>
          <w:tcPr>
            <w:tcW w:w="719" w:type="dxa"/>
            <w:vAlign w:val="top"/>
          </w:tcPr>
          <w:p>
            <w:pPr>
              <w:spacing w:before="257" w:line="187" w:lineRule="auto"/>
              <w:ind w:left="307"/>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z w:val="21"/>
                <w:szCs w:val="21"/>
                <w:highlight w:val="none"/>
              </w:rPr>
              <w:t>3</w:t>
            </w:r>
          </w:p>
        </w:tc>
        <w:tc>
          <w:tcPr>
            <w:tcW w:w="4803" w:type="dxa"/>
            <w:vAlign w:val="top"/>
          </w:tcPr>
          <w:p>
            <w:pPr>
              <w:pStyle w:val="118"/>
              <w:spacing w:before="83" w:line="245" w:lineRule="auto"/>
              <w:ind w:left="116" w:right="102" w:hanging="2"/>
              <w:rPr>
                <w:color w:val="auto"/>
                <w:highlight w:val="none"/>
              </w:rPr>
            </w:pPr>
            <w:r>
              <w:rPr>
                <w:color w:val="auto"/>
                <w:spacing w:val="-2"/>
                <w:highlight w:val="none"/>
              </w:rPr>
              <w:t>措施合理且满足工程建设需要得</w:t>
            </w:r>
            <w:r>
              <w:rPr>
                <w:color w:val="auto"/>
                <w:spacing w:val="-44"/>
                <w:highlight w:val="none"/>
              </w:rPr>
              <w:t xml:space="preserve"> </w:t>
            </w:r>
            <w:r>
              <w:rPr>
                <w:rFonts w:ascii="Times New Roman" w:hAnsi="Times New Roman" w:eastAsia="Times New Roman" w:cs="Times New Roman"/>
                <w:color w:val="auto"/>
                <w:spacing w:val="-2"/>
                <w:highlight w:val="none"/>
              </w:rPr>
              <w:t xml:space="preserve">3 </w:t>
            </w:r>
            <w:r>
              <w:rPr>
                <w:color w:val="auto"/>
                <w:spacing w:val="-2"/>
                <w:highlight w:val="none"/>
              </w:rPr>
              <w:t>分，其余</w:t>
            </w:r>
            <w:r>
              <w:rPr>
                <w:color w:val="auto"/>
                <w:spacing w:val="-3"/>
                <w:highlight w:val="none"/>
              </w:rPr>
              <w:t>酌情赋</w:t>
            </w:r>
            <w:r>
              <w:rPr>
                <w:color w:val="auto"/>
                <w:spacing w:val="-6"/>
                <w:highlight w:val="none"/>
              </w:rPr>
              <w:t>分，最低不低于</w:t>
            </w:r>
            <w:r>
              <w:rPr>
                <w:color w:val="auto"/>
                <w:spacing w:val="-27"/>
                <w:highlight w:val="none"/>
              </w:rPr>
              <w:t xml:space="preserve"> </w:t>
            </w:r>
            <w:r>
              <w:rPr>
                <w:rFonts w:ascii="Times New Roman" w:hAnsi="Times New Roman" w:eastAsia="Times New Roman" w:cs="Times New Roman"/>
                <w:color w:val="auto"/>
                <w:spacing w:val="-6"/>
                <w:highlight w:val="none"/>
              </w:rPr>
              <w:t xml:space="preserve">1.8 </w:t>
            </w:r>
            <w:r>
              <w:rPr>
                <w:color w:val="auto"/>
                <w:spacing w:val="-6"/>
                <w:highlight w:val="none"/>
              </w:rPr>
              <w:t>分，</w:t>
            </w:r>
            <w:r>
              <w:rPr>
                <w:color w:val="auto"/>
                <w:spacing w:val="-24"/>
                <w:highlight w:val="none"/>
              </w:rPr>
              <w:t xml:space="preserve"> </w:t>
            </w:r>
            <w:r>
              <w:rPr>
                <w:color w:val="auto"/>
                <w:spacing w:val="-6"/>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21" w:type="dxa"/>
            <w:vAlign w:val="top"/>
          </w:tcPr>
          <w:p>
            <w:pPr>
              <w:pStyle w:val="118"/>
              <w:spacing w:before="221" w:line="225" w:lineRule="auto"/>
              <w:ind w:left="312"/>
              <w:rPr>
                <w:rFonts w:hint="default"/>
                <w:b/>
                <w:bCs/>
                <w:color w:val="auto"/>
                <w:highlight w:val="none"/>
                <w:lang w:val="en-US" w:eastAsia="zh-CN"/>
              </w:rPr>
            </w:pPr>
            <w:r>
              <w:rPr>
                <w:rFonts w:hint="eastAsia"/>
                <w:b/>
                <w:bCs/>
                <w:color w:val="auto"/>
                <w:highlight w:val="none"/>
                <w:lang w:val="en-US" w:eastAsia="zh-CN"/>
              </w:rPr>
              <w:t>六</w:t>
            </w:r>
          </w:p>
        </w:tc>
        <w:tc>
          <w:tcPr>
            <w:tcW w:w="3126" w:type="dxa"/>
            <w:vAlign w:val="top"/>
          </w:tcPr>
          <w:p>
            <w:pPr>
              <w:pStyle w:val="118"/>
              <w:spacing w:before="221" w:line="221" w:lineRule="auto"/>
              <w:ind w:left="1041"/>
              <w:rPr>
                <w:color w:val="auto"/>
                <w:highlight w:val="none"/>
              </w:rPr>
            </w:pPr>
            <w:r>
              <w:rPr>
                <w:color w:val="auto"/>
                <w:spacing w:val="-1"/>
                <w:highlight w:val="none"/>
                <w14:textOutline w14:w="3831" w14:cap="flat" w14:cmpd="sng">
                  <w14:solidFill>
                    <w14:srgbClr w14:val="000000"/>
                  </w14:solidFill>
                  <w14:prstDash w14:val="solid"/>
                  <w14:miter w14:val="0"/>
                </w14:textOutline>
              </w:rPr>
              <w:t>合理化建议</w:t>
            </w:r>
          </w:p>
        </w:tc>
        <w:tc>
          <w:tcPr>
            <w:tcW w:w="719" w:type="dxa"/>
            <w:vAlign w:val="top"/>
          </w:tcPr>
          <w:p>
            <w:pPr>
              <w:spacing w:before="260" w:line="187" w:lineRule="auto"/>
              <w:ind w:left="309"/>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z w:val="21"/>
                <w:szCs w:val="21"/>
                <w:highlight w:val="none"/>
              </w:rPr>
              <w:t>2</w:t>
            </w:r>
          </w:p>
        </w:tc>
        <w:tc>
          <w:tcPr>
            <w:tcW w:w="4803" w:type="dxa"/>
            <w:vAlign w:val="top"/>
          </w:tcPr>
          <w:p>
            <w:pPr>
              <w:pStyle w:val="118"/>
              <w:spacing w:before="84" w:line="245" w:lineRule="auto"/>
              <w:ind w:left="116" w:right="102"/>
              <w:rPr>
                <w:color w:val="auto"/>
                <w:highlight w:val="none"/>
              </w:rPr>
            </w:pPr>
            <w:r>
              <w:rPr>
                <w:color w:val="auto"/>
                <w:spacing w:val="-8"/>
                <w:highlight w:val="none"/>
              </w:rPr>
              <w:t>建议合理、可行得</w:t>
            </w:r>
            <w:r>
              <w:rPr>
                <w:color w:val="auto"/>
                <w:spacing w:val="-48"/>
                <w:highlight w:val="none"/>
              </w:rPr>
              <w:t xml:space="preserve"> </w:t>
            </w:r>
            <w:r>
              <w:rPr>
                <w:rFonts w:ascii="Times New Roman" w:hAnsi="Times New Roman" w:eastAsia="Times New Roman" w:cs="Times New Roman"/>
                <w:color w:val="auto"/>
                <w:spacing w:val="-8"/>
                <w:highlight w:val="none"/>
              </w:rPr>
              <w:t xml:space="preserve">2 </w:t>
            </w:r>
            <w:r>
              <w:rPr>
                <w:color w:val="auto"/>
                <w:spacing w:val="-8"/>
                <w:highlight w:val="none"/>
              </w:rPr>
              <w:t>分，</w:t>
            </w:r>
            <w:r>
              <w:rPr>
                <w:color w:val="auto"/>
                <w:spacing w:val="-38"/>
                <w:highlight w:val="none"/>
              </w:rPr>
              <w:t xml:space="preserve"> </w:t>
            </w:r>
            <w:r>
              <w:rPr>
                <w:color w:val="auto"/>
                <w:spacing w:val="-8"/>
                <w:highlight w:val="none"/>
              </w:rPr>
              <w:t>其他酌情赋分，</w:t>
            </w:r>
            <w:r>
              <w:rPr>
                <w:color w:val="auto"/>
                <w:spacing w:val="-32"/>
                <w:highlight w:val="none"/>
              </w:rPr>
              <w:t xml:space="preserve"> </w:t>
            </w:r>
            <w:r>
              <w:rPr>
                <w:color w:val="auto"/>
                <w:spacing w:val="-8"/>
                <w:highlight w:val="none"/>
              </w:rPr>
              <w:t>最</w:t>
            </w:r>
            <w:r>
              <w:rPr>
                <w:color w:val="auto"/>
                <w:spacing w:val="-9"/>
                <w:highlight w:val="none"/>
              </w:rPr>
              <w:t>低不低于</w:t>
            </w:r>
            <w:r>
              <w:rPr>
                <w:color w:val="auto"/>
                <w:spacing w:val="-27"/>
                <w:highlight w:val="none"/>
              </w:rPr>
              <w:t xml:space="preserve"> </w:t>
            </w:r>
            <w:r>
              <w:rPr>
                <w:rFonts w:ascii="Times New Roman" w:hAnsi="Times New Roman" w:eastAsia="Times New Roman" w:cs="Times New Roman"/>
                <w:color w:val="auto"/>
                <w:spacing w:val="-9"/>
                <w:highlight w:val="none"/>
              </w:rPr>
              <w:t xml:space="preserve">1.2 </w:t>
            </w:r>
            <w:r>
              <w:rPr>
                <w:color w:val="auto"/>
                <w:spacing w:val="-9"/>
                <w:highlight w:val="none"/>
              </w:rPr>
              <w:t>分，</w:t>
            </w:r>
            <w:r>
              <w:rPr>
                <w:color w:val="auto"/>
                <w:spacing w:val="-24"/>
                <w:highlight w:val="none"/>
              </w:rPr>
              <w:t xml:space="preserve"> </w:t>
            </w:r>
            <w:r>
              <w:rPr>
                <w:color w:val="auto"/>
                <w:spacing w:val="-9"/>
                <w:highlight w:val="none"/>
              </w:rPr>
              <w:t>没有不得分。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821" w:type="dxa"/>
            <w:vAlign w:val="top"/>
          </w:tcPr>
          <w:p>
            <w:pPr>
              <w:pStyle w:val="118"/>
              <w:spacing w:before="221" w:line="225" w:lineRule="auto"/>
              <w:ind w:left="312"/>
              <w:rPr>
                <w:rFonts w:hint="eastAsia"/>
                <w:color w:val="auto"/>
                <w:highlight w:val="none"/>
                <w:lang w:val="en-US" w:eastAsia="zh-CN"/>
              </w:rPr>
            </w:pPr>
            <w:r>
              <w:rPr>
                <w:rFonts w:hint="eastAsia"/>
                <w:b/>
                <w:bCs/>
                <w:color w:val="auto"/>
                <w:highlight w:val="none"/>
                <w:lang w:val="en-US" w:eastAsia="zh-CN"/>
              </w:rPr>
              <w:t>七</w:t>
            </w:r>
          </w:p>
        </w:tc>
        <w:tc>
          <w:tcPr>
            <w:tcW w:w="3126" w:type="dxa"/>
            <w:vAlign w:val="top"/>
          </w:tcPr>
          <w:p>
            <w:pPr>
              <w:spacing w:line="322" w:lineRule="auto"/>
              <w:rPr>
                <w:rFonts w:ascii="Arial"/>
                <w:color w:val="auto"/>
                <w:sz w:val="21"/>
                <w:highlight w:val="none"/>
              </w:rPr>
            </w:pPr>
          </w:p>
          <w:p>
            <w:pPr>
              <w:pStyle w:val="118"/>
              <w:spacing w:before="68" w:line="219" w:lineRule="auto"/>
              <w:ind w:left="1148"/>
              <w:rPr>
                <w:color w:val="auto"/>
                <w:highlight w:val="none"/>
              </w:rPr>
            </w:pPr>
            <w:r>
              <w:rPr>
                <w:rFonts w:hint="eastAsia"/>
                <w:color w:val="auto"/>
                <w:spacing w:val="-2"/>
                <w:highlight w:val="none"/>
                <w:lang w:eastAsia="zh-CN"/>
                <w14:textOutline w14:w="3831" w14:cap="flat" w14:cmpd="sng">
                  <w14:solidFill>
                    <w14:srgbClr w14:val="000000"/>
                  </w14:solidFill>
                  <w14:prstDash w14:val="solid"/>
                  <w14:miter w14:val="0"/>
                </w14:textOutline>
              </w:rPr>
              <w:t>响应</w:t>
            </w:r>
            <w:r>
              <w:rPr>
                <w:color w:val="auto"/>
                <w:spacing w:val="-2"/>
                <w:highlight w:val="none"/>
                <w14:textOutline w14:w="3831" w14:cap="flat" w14:cmpd="sng">
                  <w14:solidFill>
                    <w14:srgbClr w14:val="000000"/>
                  </w14:solidFill>
                  <w14:prstDash w14:val="solid"/>
                  <w14:miter w14:val="0"/>
                </w14:textOutline>
              </w:rPr>
              <w:t>报价</w:t>
            </w:r>
          </w:p>
        </w:tc>
        <w:tc>
          <w:tcPr>
            <w:tcW w:w="719" w:type="dxa"/>
            <w:vAlign w:val="top"/>
          </w:tcPr>
          <w:p>
            <w:pPr>
              <w:spacing w:line="368" w:lineRule="auto"/>
              <w:rPr>
                <w:rFonts w:ascii="Arial"/>
                <w:color w:val="auto"/>
                <w:sz w:val="21"/>
                <w:highlight w:val="none"/>
              </w:rPr>
            </w:pPr>
          </w:p>
          <w:p>
            <w:pPr>
              <w:spacing w:before="60" w:line="187" w:lineRule="auto"/>
              <w:ind w:left="265"/>
              <w:rPr>
                <w:rFonts w:ascii="Times New Roman" w:hAnsi="Times New Roman" w:eastAsia="Times New Roman" w:cs="Times New Roman"/>
                <w:color w:val="auto"/>
                <w:sz w:val="21"/>
                <w:szCs w:val="21"/>
                <w:highlight w:val="none"/>
              </w:rPr>
            </w:pPr>
            <w:r>
              <w:rPr>
                <w:rFonts w:ascii="Times New Roman" w:hAnsi="Times New Roman" w:eastAsia="Times New Roman" w:cs="Times New Roman"/>
                <w:b/>
                <w:bCs/>
                <w:color w:val="auto"/>
                <w:spacing w:val="-7"/>
                <w:sz w:val="21"/>
                <w:szCs w:val="21"/>
                <w:highlight w:val="none"/>
              </w:rPr>
              <w:t>15</w:t>
            </w:r>
          </w:p>
        </w:tc>
        <w:tc>
          <w:tcPr>
            <w:tcW w:w="480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821" w:type="dxa"/>
            <w:vAlign w:val="top"/>
          </w:tcPr>
          <w:p>
            <w:pPr>
              <w:pStyle w:val="118"/>
              <w:spacing w:before="295" w:line="226" w:lineRule="auto"/>
              <w:ind w:left="158" w:right="158" w:firstLine="43"/>
              <w:rPr>
                <w:rFonts w:hint="eastAsia" w:ascii="Times New Roman" w:hAnsi="Times New Roman" w:cs="Times New Roman"/>
                <w:b/>
                <w:bCs/>
                <w:color w:val="auto"/>
                <w:spacing w:val="-1"/>
                <w:highlight w:val="none"/>
                <w:lang w:val="en-US" w:eastAsia="zh-CN"/>
              </w:rPr>
            </w:pPr>
          </w:p>
          <w:p>
            <w:pPr>
              <w:pStyle w:val="118"/>
              <w:spacing w:before="295" w:line="226" w:lineRule="auto"/>
              <w:ind w:right="158" w:firstLine="239" w:firstLineChars="100"/>
              <w:rPr>
                <w:rFonts w:hint="default" w:ascii="Times New Roman" w:hAnsi="Times New Roman" w:cs="Times New Roman"/>
                <w:b/>
                <w:bCs/>
                <w:color w:val="auto"/>
                <w:spacing w:val="-1"/>
                <w:highlight w:val="none"/>
                <w:lang w:val="en-US" w:eastAsia="zh-CN"/>
              </w:rPr>
            </w:pPr>
            <w:r>
              <w:rPr>
                <w:rFonts w:hint="eastAsia" w:ascii="Times New Roman" w:hAnsi="Times New Roman" w:cs="Times New Roman"/>
                <w:b/>
                <w:bCs/>
                <w:color w:val="auto"/>
                <w:spacing w:val="-1"/>
                <w:highlight w:val="none"/>
                <w:lang w:val="en-US" w:eastAsia="zh-CN"/>
              </w:rPr>
              <w:t>7.1</w:t>
            </w:r>
          </w:p>
        </w:tc>
        <w:tc>
          <w:tcPr>
            <w:tcW w:w="3126" w:type="dxa"/>
            <w:vAlign w:val="top"/>
          </w:tcPr>
          <w:p>
            <w:pPr>
              <w:pStyle w:val="118"/>
              <w:spacing w:before="83" w:line="245" w:lineRule="auto"/>
              <w:ind w:left="116" w:right="102" w:hanging="2"/>
              <w:jc w:val="center"/>
              <w:rPr>
                <w:color w:val="auto"/>
                <w:spacing w:val="-2"/>
                <w:highlight w:val="none"/>
              </w:rPr>
            </w:pPr>
          </w:p>
          <w:p>
            <w:pPr>
              <w:pStyle w:val="118"/>
              <w:spacing w:before="83" w:line="245" w:lineRule="auto"/>
              <w:ind w:right="102"/>
              <w:jc w:val="both"/>
              <w:rPr>
                <w:color w:val="auto"/>
                <w:spacing w:val="-2"/>
                <w:highlight w:val="none"/>
              </w:rPr>
            </w:pPr>
          </w:p>
          <w:p>
            <w:pPr>
              <w:pStyle w:val="118"/>
              <w:spacing w:before="83" w:line="245" w:lineRule="auto"/>
              <w:ind w:left="116" w:leftChars="0" w:right="102" w:rightChars="0" w:hanging="2" w:firstLineChars="0"/>
              <w:jc w:val="center"/>
              <w:rPr>
                <w:rFonts w:hint="eastAsia"/>
                <w:color w:val="auto"/>
                <w:spacing w:val="-2"/>
                <w:highlight w:val="none"/>
                <w:lang w:eastAsia="zh-CN"/>
                <w14:textOutline w14:w="3831" w14:cap="flat" w14:cmpd="sng">
                  <w14:solidFill>
                    <w14:srgbClr w14:val="000000"/>
                  </w14:solidFill>
                  <w14:prstDash w14:val="solid"/>
                  <w14:miter w14:val="0"/>
                </w14:textOutline>
              </w:rPr>
            </w:pPr>
            <w:r>
              <w:rPr>
                <w:rFonts w:hint="eastAsia"/>
                <w:color w:val="auto"/>
                <w:spacing w:val="-2"/>
                <w:highlight w:val="none"/>
                <w:lang w:eastAsia="zh-CN"/>
              </w:rPr>
              <w:t>价格分</w:t>
            </w:r>
          </w:p>
        </w:tc>
        <w:tc>
          <w:tcPr>
            <w:tcW w:w="719" w:type="dxa"/>
            <w:vAlign w:val="top"/>
          </w:tcPr>
          <w:p>
            <w:pPr>
              <w:pStyle w:val="118"/>
              <w:spacing w:before="83" w:line="245" w:lineRule="auto"/>
              <w:ind w:left="116" w:right="102" w:hanging="2"/>
              <w:jc w:val="center"/>
              <w:rPr>
                <w:color w:val="auto"/>
                <w:spacing w:val="-2"/>
                <w:highlight w:val="none"/>
              </w:rPr>
            </w:pPr>
          </w:p>
          <w:p>
            <w:pPr>
              <w:pStyle w:val="118"/>
              <w:spacing w:before="83" w:line="245" w:lineRule="auto"/>
              <w:ind w:left="116" w:right="102" w:hanging="2"/>
              <w:jc w:val="center"/>
              <w:rPr>
                <w:color w:val="auto"/>
                <w:spacing w:val="-2"/>
                <w:highlight w:val="none"/>
              </w:rPr>
            </w:pPr>
          </w:p>
          <w:p>
            <w:pPr>
              <w:pStyle w:val="118"/>
              <w:spacing w:before="83" w:line="245" w:lineRule="auto"/>
              <w:ind w:right="102" w:rightChars="0"/>
              <w:jc w:val="center"/>
              <w:rPr>
                <w:rFonts w:ascii="Times New Roman" w:hAnsi="Times New Roman" w:eastAsia="Times New Roman" w:cs="Times New Roman"/>
                <w:b/>
                <w:bCs/>
                <w:color w:val="auto"/>
                <w:spacing w:val="-7"/>
                <w:sz w:val="21"/>
                <w:szCs w:val="21"/>
                <w:highlight w:val="none"/>
              </w:rPr>
            </w:pPr>
            <w:r>
              <w:rPr>
                <w:color w:val="auto"/>
                <w:spacing w:val="-2"/>
                <w:highlight w:val="none"/>
              </w:rPr>
              <w:t>15</w:t>
            </w:r>
          </w:p>
        </w:tc>
        <w:tc>
          <w:tcPr>
            <w:tcW w:w="4803" w:type="dxa"/>
            <w:vAlign w:val="top"/>
          </w:tcPr>
          <w:p>
            <w:pPr>
              <w:pStyle w:val="118"/>
              <w:spacing w:before="83" w:line="245" w:lineRule="auto"/>
              <w:ind w:left="116" w:right="102" w:hanging="2"/>
              <w:rPr>
                <w:rFonts w:hint="eastAsia"/>
                <w:color w:val="auto"/>
                <w:spacing w:val="-2"/>
                <w:highlight w:val="none"/>
              </w:rPr>
            </w:pPr>
            <w:r>
              <w:rPr>
                <w:rFonts w:hint="eastAsia"/>
                <w:color w:val="auto"/>
                <w:spacing w:val="-2"/>
                <w:highlight w:val="none"/>
                <w:lang w:val="en-US" w:eastAsia="zh-CN"/>
              </w:rPr>
              <w:t xml:space="preserve">价格分统一采用低价优先法，即满足磋商文件要求且最终报价最低的价格作为评标基准价，其价格分为满分15分。其他磋商供应商的价格分统一按照下列公式计算（四舍五入保留至小数点后两位数）： </w:t>
            </w:r>
          </w:p>
          <w:p>
            <w:pPr>
              <w:pStyle w:val="118"/>
              <w:spacing w:before="83" w:line="245" w:lineRule="auto"/>
              <w:ind w:left="116" w:leftChars="0" w:right="102" w:rightChars="0" w:hanging="2" w:firstLineChars="0"/>
              <w:rPr>
                <w:rFonts w:ascii="Arial"/>
                <w:color w:val="auto"/>
                <w:sz w:val="21"/>
                <w:highlight w:val="none"/>
              </w:rPr>
            </w:pPr>
            <w:r>
              <w:rPr>
                <w:rFonts w:hint="eastAsia"/>
                <w:color w:val="auto"/>
                <w:spacing w:val="-2"/>
                <w:highlight w:val="none"/>
                <w:lang w:val="en-US" w:eastAsia="zh-CN"/>
              </w:rPr>
              <w:t>磋商报价得分＝（评标基准价/磋商报价）×15％×100</w:t>
            </w:r>
          </w:p>
        </w:tc>
      </w:tr>
    </w:tbl>
    <w:p>
      <w:pPr>
        <w:spacing w:line="48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 xml:space="preserve">类似项目指：具有单项合同金额15万元及以上的水利工程环境保护监测业绩或竣工环境保护验收报告编制业绩。 </w:t>
      </w:r>
    </w:p>
    <w:p>
      <w:pPr>
        <w:spacing w:line="48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注：须提供（</w:t>
      </w:r>
      <w:r>
        <w:rPr>
          <w:rFonts w:hint="default"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）中标通知书（如有）、合同协议书；（</w:t>
      </w:r>
      <w:r>
        <w:rPr>
          <w:rFonts w:hint="default" w:ascii="宋体" w:hAnsi="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 xml:space="preserve">）项目环境保护专项验收报告公示网站截图。（项目负责人与企业业绩可为同一业绩，上述证明材料须能体现时间、项目 </w:t>
      </w:r>
    </w:p>
    <w:p>
      <w:pPr>
        <w:spacing w:line="48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类型、金额、项目负责人等关键评审因素；若不能体现须提供业主出具的相关证明材料，并将原件扫描件编入投标文件中，同时提供业主单位联系人和联系方式，否则不予认可）。</w:t>
      </w:r>
    </w:p>
    <w:p>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技术标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6"/>
        <w:spacing w:line="480" w:lineRule="exact"/>
        <w:ind w:right="-11" w:firstLine="49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3、得分汇总</w:t>
      </w:r>
    </w:p>
    <w:p>
      <w:pPr>
        <w:spacing w:line="48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（1）将每个有效磋商供应商的技术标分之和加上根据上述标准计算出的价格分，即为该磋商供应商的综</w:t>
      </w:r>
      <w:r>
        <w:rPr>
          <w:rFonts w:hint="eastAsia" w:ascii="宋体" w:hAnsi="宋体" w:cs="宋体"/>
          <w:color w:val="auto"/>
          <w:sz w:val="24"/>
          <w:szCs w:val="24"/>
          <w:highlight w:val="none"/>
        </w:rPr>
        <w:t>合总得分。</w:t>
      </w: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（2）按照有效磋商供应商综合总得分由高到低依次排出成交候选供应商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如供应商综合总得分相同时，以响应报价得分由高到低的顺序排列；响应报价得分也相等的，则由采购人现场确定成交候选供应商排序。</w:t>
      </w:r>
    </w:p>
    <w:p>
      <w:pPr>
        <w:pStyle w:val="8"/>
        <w:spacing w:before="156" w:beforeLines="50" w:after="156" w:afterLines="50" w:line="560" w:lineRule="exact"/>
        <w:jc w:val="center"/>
        <w:rPr>
          <w:rFonts w:hint="default" w:ascii="宋体" w:hAnsi="宋体" w:eastAsia="宋体" w:cs="宋体"/>
          <w:color w:val="auto"/>
          <w:sz w:val="28"/>
          <w:szCs w:val="28"/>
          <w:highlight w:val="none"/>
          <w:lang w:val="en-US" w:eastAsia="zh-CN"/>
        </w:rPr>
      </w:pPr>
      <w:bookmarkStart w:id="77" w:name="_Toc5553"/>
      <w:bookmarkStart w:id="78" w:name="_Toc14458"/>
      <w:r>
        <w:rPr>
          <w:rFonts w:hint="eastAsia" w:ascii="宋体" w:hAnsi="宋体" w:eastAsia="宋体" w:cs="宋体"/>
          <w:color w:val="auto"/>
          <w:sz w:val="28"/>
          <w:szCs w:val="28"/>
          <w:highlight w:val="none"/>
        </w:rPr>
        <w:br w:type="page"/>
      </w:r>
      <w:bookmarkStart w:id="79" w:name="_Toc8088"/>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五、响应文件格式</w:t>
      </w:r>
      <w:bookmarkEnd w:id="77"/>
      <w:bookmarkEnd w:id="78"/>
      <w:bookmarkEnd w:id="79"/>
      <w:r>
        <w:rPr>
          <w:rFonts w:hint="eastAsia" w:ascii="宋体" w:hAnsi="宋体" w:eastAsia="宋体" w:cs="宋体"/>
          <w:color w:val="auto"/>
          <w:sz w:val="28"/>
          <w:szCs w:val="28"/>
          <w:highlight w:val="none"/>
          <w:lang w:val="en-US" w:eastAsia="zh-CN"/>
        </w:rPr>
        <w:t xml:space="preserve">      </w:t>
      </w:r>
    </w:p>
    <w:p>
      <w:pPr>
        <w:spacing w:line="500" w:lineRule="exact"/>
        <w:jc w:val="center"/>
        <w:rPr>
          <w:rFonts w:hint="default" w:ascii="宋体" w:hAnsi="宋体" w:eastAsia="宋体" w:cs="宋体"/>
          <w:b/>
          <w:bCs/>
          <w:color w:val="auto"/>
          <w:sz w:val="32"/>
          <w:highlight w:val="none"/>
          <w:lang w:val="en-US" w:eastAsia="zh-CN"/>
        </w:rPr>
      </w:pPr>
      <w:r>
        <w:rPr>
          <w:rFonts w:hint="eastAsia" w:ascii="宋体" w:hAnsi="宋体" w:cs="宋体"/>
          <w:b/>
          <w:color w:val="auto"/>
          <w:sz w:val="32"/>
          <w:highlight w:val="none"/>
          <w:lang w:val="en-US" w:eastAsia="zh-CN"/>
        </w:rPr>
        <w:t xml:space="preserve">                                            </w:t>
      </w:r>
    </w:p>
    <w:p>
      <w:pPr>
        <w:spacing w:after="156" w:afterLines="50" w:line="500" w:lineRule="exact"/>
        <w:jc w:val="center"/>
        <w:rPr>
          <w:rFonts w:hint="default" w:ascii="宋体" w:hAnsi="宋体" w:eastAsia="宋体" w:cs="宋体"/>
          <w:b/>
          <w:color w:val="auto"/>
          <w:sz w:val="36"/>
          <w:szCs w:val="36"/>
          <w:highlight w:val="none"/>
          <w:lang w:val="en-US" w:eastAsia="zh-CN"/>
        </w:rPr>
      </w:pPr>
      <w:r>
        <w:rPr>
          <w:rFonts w:hint="eastAsia" w:ascii="宋体" w:hAnsi="宋体" w:cs="宋体"/>
          <w:b/>
          <w:color w:val="auto"/>
          <w:sz w:val="32"/>
          <w:highlight w:val="none"/>
          <w:u w:val="single"/>
        </w:rPr>
        <w:t>　　　　　　　　　</w:t>
      </w:r>
      <w:bookmarkStart w:id="80" w:name="_Toc22685"/>
      <w:bookmarkStart w:id="81" w:name="_Toc4448"/>
      <w:r>
        <w:rPr>
          <w:rFonts w:hint="eastAsia" w:ascii="宋体" w:hAnsi="宋体" w:cs="宋体"/>
          <w:b/>
          <w:color w:val="auto"/>
          <w:sz w:val="32"/>
          <w:highlight w:val="none"/>
        </w:rPr>
        <w:t>项目</w:t>
      </w:r>
      <w:bookmarkEnd w:id="80"/>
      <w:bookmarkEnd w:id="81"/>
    </w:p>
    <w:p>
      <w:pPr>
        <w:spacing w:line="500" w:lineRule="exact"/>
        <w:jc w:val="center"/>
        <w:outlineLvl w:val="0"/>
        <w:rPr>
          <w:rFonts w:ascii="宋体" w:hAnsi="宋体" w:cs="宋体"/>
          <w:b/>
          <w:color w:val="auto"/>
          <w:sz w:val="32"/>
          <w:highlight w:val="none"/>
        </w:rPr>
      </w:pPr>
    </w:p>
    <w:p>
      <w:pPr>
        <w:spacing w:line="900" w:lineRule="exact"/>
        <w:rPr>
          <w:rFonts w:ascii="宋体" w:hAnsi="宋体" w:cs="宋体"/>
          <w:b/>
          <w:color w:val="auto"/>
          <w:sz w:val="72"/>
          <w:highlight w:val="none"/>
        </w:rPr>
      </w:pPr>
    </w:p>
    <w:p>
      <w:pPr>
        <w:spacing w:line="900" w:lineRule="exact"/>
        <w:jc w:val="center"/>
        <w:rPr>
          <w:rFonts w:ascii="宋体" w:hAnsi="宋体" w:cs="宋体"/>
          <w:b/>
          <w:color w:val="auto"/>
          <w:sz w:val="56"/>
          <w:szCs w:val="18"/>
          <w:highlight w:val="none"/>
        </w:rPr>
      </w:pPr>
      <w:r>
        <w:rPr>
          <w:rFonts w:hint="eastAsia" w:ascii="宋体" w:hAnsi="宋体" w:cs="宋体"/>
          <w:b/>
          <w:color w:val="auto"/>
          <w:sz w:val="56"/>
          <w:szCs w:val="18"/>
          <w:highlight w:val="none"/>
        </w:rPr>
        <w:t>响</w:t>
      </w:r>
    </w:p>
    <w:p>
      <w:pPr>
        <w:spacing w:line="900" w:lineRule="exact"/>
        <w:jc w:val="center"/>
        <w:rPr>
          <w:rFonts w:ascii="宋体" w:hAnsi="宋体" w:cs="宋体"/>
          <w:b/>
          <w:color w:val="auto"/>
          <w:sz w:val="56"/>
          <w:szCs w:val="18"/>
          <w:highlight w:val="none"/>
        </w:rPr>
      </w:pPr>
    </w:p>
    <w:p>
      <w:pPr>
        <w:spacing w:line="900" w:lineRule="exact"/>
        <w:jc w:val="center"/>
        <w:rPr>
          <w:rFonts w:ascii="宋体" w:hAnsi="宋体" w:cs="宋体"/>
          <w:b/>
          <w:color w:val="auto"/>
          <w:sz w:val="56"/>
          <w:szCs w:val="18"/>
          <w:highlight w:val="none"/>
        </w:rPr>
      </w:pPr>
      <w:r>
        <w:rPr>
          <w:rFonts w:hint="eastAsia" w:ascii="宋体" w:hAnsi="宋体" w:cs="宋体"/>
          <w:b/>
          <w:color w:val="auto"/>
          <w:sz w:val="56"/>
          <w:szCs w:val="18"/>
          <w:highlight w:val="none"/>
        </w:rPr>
        <w:t>应</w:t>
      </w:r>
    </w:p>
    <w:p>
      <w:pPr>
        <w:spacing w:line="900" w:lineRule="exact"/>
        <w:jc w:val="center"/>
        <w:rPr>
          <w:rFonts w:ascii="宋体" w:hAnsi="宋体" w:cs="宋体"/>
          <w:b/>
          <w:color w:val="auto"/>
          <w:sz w:val="56"/>
          <w:szCs w:val="18"/>
          <w:highlight w:val="none"/>
        </w:rPr>
      </w:pPr>
    </w:p>
    <w:p>
      <w:pPr>
        <w:spacing w:line="900" w:lineRule="exact"/>
        <w:jc w:val="center"/>
        <w:rPr>
          <w:rFonts w:ascii="宋体" w:hAnsi="宋体" w:cs="宋体"/>
          <w:b/>
          <w:color w:val="auto"/>
          <w:sz w:val="56"/>
          <w:szCs w:val="18"/>
          <w:highlight w:val="none"/>
        </w:rPr>
      </w:pPr>
      <w:r>
        <w:rPr>
          <w:rFonts w:hint="eastAsia" w:ascii="宋体" w:hAnsi="宋体" w:cs="宋体"/>
          <w:b/>
          <w:color w:val="auto"/>
          <w:sz w:val="56"/>
          <w:szCs w:val="18"/>
          <w:highlight w:val="none"/>
        </w:rPr>
        <w:t>文</w:t>
      </w:r>
    </w:p>
    <w:p>
      <w:pPr>
        <w:spacing w:line="900" w:lineRule="exact"/>
        <w:jc w:val="center"/>
        <w:rPr>
          <w:rFonts w:ascii="宋体" w:hAnsi="宋体" w:cs="宋体"/>
          <w:b/>
          <w:color w:val="auto"/>
          <w:sz w:val="56"/>
          <w:szCs w:val="18"/>
          <w:highlight w:val="none"/>
        </w:rPr>
      </w:pPr>
    </w:p>
    <w:p>
      <w:pPr>
        <w:jc w:val="center"/>
        <w:rPr>
          <w:rFonts w:ascii="宋体" w:hAnsi="宋体" w:cs="宋体"/>
          <w:b/>
          <w:color w:val="auto"/>
          <w:sz w:val="56"/>
          <w:szCs w:val="18"/>
          <w:highlight w:val="none"/>
        </w:rPr>
      </w:pPr>
      <w:r>
        <w:rPr>
          <w:rFonts w:hint="eastAsia" w:ascii="宋体" w:hAnsi="宋体" w:cs="宋体"/>
          <w:b/>
          <w:color w:val="auto"/>
          <w:sz w:val="56"/>
          <w:szCs w:val="18"/>
          <w:highlight w:val="none"/>
        </w:rPr>
        <w:t>件</w:t>
      </w:r>
    </w:p>
    <w:p>
      <w:pPr>
        <w:spacing w:after="156" w:afterLines="50"/>
        <w:jc w:val="center"/>
        <w:rPr>
          <w:rFonts w:hint="eastAsia" w:ascii="宋体" w:hAnsi="宋体" w:cs="宋体"/>
          <w:b/>
          <w:color w:val="auto"/>
          <w:sz w:val="48"/>
          <w:szCs w:val="15"/>
          <w:highlight w:val="none"/>
          <w:lang w:eastAsia="zh-CN"/>
        </w:rPr>
      </w:pPr>
    </w:p>
    <w:p>
      <w:pPr>
        <w:spacing w:after="156" w:afterLines="50"/>
        <w:jc w:val="center"/>
        <w:rPr>
          <w:rFonts w:hint="eastAsia" w:ascii="宋体" w:hAnsi="宋体" w:eastAsia="宋体" w:cs="宋体"/>
          <w:b/>
          <w:color w:val="auto"/>
          <w:sz w:val="44"/>
          <w:szCs w:val="13"/>
          <w:highlight w:val="none"/>
          <w:lang w:eastAsia="zh-CN"/>
        </w:rPr>
      </w:pPr>
      <w:r>
        <w:rPr>
          <w:rFonts w:hint="eastAsia" w:ascii="宋体" w:hAnsi="宋体" w:cs="宋体"/>
          <w:b/>
          <w:color w:val="auto"/>
          <w:sz w:val="40"/>
          <w:szCs w:val="11"/>
          <w:highlight w:val="none"/>
          <w:lang w:eastAsia="zh-CN"/>
        </w:rPr>
        <w:t>项目编号：</w:t>
      </w:r>
    </w:p>
    <w:p>
      <w:pPr>
        <w:spacing w:after="156" w:afterLines="50" w:line="500" w:lineRule="exact"/>
        <w:jc w:val="center"/>
        <w:rPr>
          <w:rFonts w:ascii="宋体" w:hAnsi="宋体" w:cs="宋体"/>
          <w:b/>
          <w:color w:val="auto"/>
          <w:sz w:val="72"/>
          <w:highlight w:val="none"/>
        </w:rPr>
      </w:pPr>
    </w:p>
    <w:p>
      <w:pPr>
        <w:pStyle w:val="2"/>
        <w:ind w:left="0" w:leftChars="0" w:firstLine="643" w:firstLineChars="200"/>
        <w:rPr>
          <w:rFonts w:hint="default" w:ascii="宋体" w:hAnsi="宋体" w:eastAsia="宋体" w:cs="宋体"/>
          <w:b/>
          <w:color w:val="auto"/>
          <w:kern w:val="2"/>
          <w:sz w:val="32"/>
          <w:szCs w:val="20"/>
          <w:highlight w:val="none"/>
          <w:u w:val="none"/>
          <w:lang w:val="en-US" w:eastAsia="zh-CN" w:bidi="ar-SA"/>
        </w:rPr>
      </w:pPr>
      <w:r>
        <w:rPr>
          <w:rFonts w:hint="eastAsia" w:ascii="宋体" w:hAnsi="宋体" w:cs="宋体"/>
          <w:b/>
          <w:color w:val="auto"/>
          <w:sz w:val="32"/>
          <w:highlight w:val="none"/>
        </w:rPr>
        <w:t>供应商：</w:t>
      </w:r>
    </w:p>
    <w:p>
      <w:pPr>
        <w:spacing w:after="156" w:afterLines="50" w:line="500" w:lineRule="exact"/>
        <w:ind w:firstLine="3694" w:firstLineChars="1150"/>
        <w:outlineLvl w:val="0"/>
        <w:rPr>
          <w:rFonts w:ascii="宋体" w:hAnsi="宋体" w:cs="宋体"/>
          <w:color w:val="auto"/>
          <w:sz w:val="24"/>
          <w:szCs w:val="28"/>
          <w:highlight w:val="none"/>
        </w:rPr>
      </w:pPr>
      <w:bookmarkStart w:id="82" w:name="_Toc4670"/>
      <w:bookmarkStart w:id="83" w:name="_Toc5792"/>
      <w:r>
        <w:rPr>
          <w:rFonts w:hint="eastAsia" w:ascii="宋体" w:hAnsi="宋体" w:cs="宋体"/>
          <w:b/>
          <w:color w:val="auto"/>
          <w:sz w:val="32"/>
          <w:highlight w:val="none"/>
        </w:rPr>
        <w:t xml:space="preserve">年  </w:t>
      </w:r>
      <w:r>
        <w:rPr>
          <w:rFonts w:hint="eastAsia" w:ascii="宋体" w:hAnsi="宋体" w:cs="宋体"/>
          <w:b/>
          <w:color w:val="auto"/>
          <w:sz w:val="32"/>
          <w:highlight w:val="none"/>
          <w:lang w:val="en-US" w:eastAsia="zh-CN"/>
        </w:rPr>
        <w:t xml:space="preserve">  </w:t>
      </w:r>
      <w:r>
        <w:rPr>
          <w:rFonts w:hint="eastAsia" w:ascii="宋体" w:hAnsi="宋体" w:cs="宋体"/>
          <w:b/>
          <w:color w:val="auto"/>
          <w:sz w:val="32"/>
          <w:highlight w:val="none"/>
        </w:rPr>
        <w:t xml:space="preserve">月  </w:t>
      </w:r>
      <w:r>
        <w:rPr>
          <w:rFonts w:hint="eastAsia" w:ascii="宋体" w:hAnsi="宋体" w:cs="宋体"/>
          <w:b/>
          <w:color w:val="auto"/>
          <w:sz w:val="32"/>
          <w:highlight w:val="none"/>
          <w:lang w:val="en-US" w:eastAsia="zh-CN"/>
        </w:rPr>
        <w:t xml:space="preserve">  </w:t>
      </w:r>
      <w:r>
        <w:rPr>
          <w:rFonts w:hint="eastAsia" w:ascii="宋体" w:hAnsi="宋体" w:cs="宋体"/>
          <w:b/>
          <w:color w:val="auto"/>
          <w:sz w:val="32"/>
          <w:highlight w:val="none"/>
        </w:rPr>
        <w:t>日</w:t>
      </w:r>
      <w:bookmarkEnd w:id="82"/>
      <w:bookmarkEnd w:id="83"/>
    </w:p>
    <w:p>
      <w:pPr>
        <w:pStyle w:val="8"/>
        <w:spacing w:before="156" w:beforeLines="50" w:after="156" w:afterLines="50" w:line="560" w:lineRule="exact"/>
        <w:jc w:val="center"/>
        <w:rPr>
          <w:rFonts w:ascii="宋体" w:hAnsi="宋体" w:eastAsia="宋体" w:cs="宋体"/>
          <w:color w:val="auto"/>
          <w:sz w:val="24"/>
          <w:szCs w:val="24"/>
          <w:highlight w:val="none"/>
        </w:rPr>
      </w:pPr>
      <w:bookmarkStart w:id="84" w:name="_Toc20663"/>
      <w:r>
        <w:rPr>
          <w:rFonts w:hint="eastAsia" w:ascii="宋体" w:hAnsi="宋体" w:eastAsia="宋体" w:cs="宋体"/>
          <w:color w:val="auto"/>
          <w:sz w:val="24"/>
          <w:szCs w:val="24"/>
          <w:highlight w:val="none"/>
        </w:rPr>
        <w:br w:type="page"/>
      </w:r>
      <w:bookmarkStart w:id="85" w:name="_Toc2602"/>
      <w:r>
        <w:rPr>
          <w:rFonts w:hint="eastAsia" w:ascii="宋体" w:hAnsi="宋体" w:eastAsia="宋体" w:cs="宋体"/>
          <w:color w:val="auto"/>
          <w:sz w:val="24"/>
          <w:szCs w:val="24"/>
          <w:highlight w:val="none"/>
        </w:rPr>
        <w:t>响应文件资料清单</w:t>
      </w:r>
      <w:bookmarkEnd w:id="84"/>
      <w:bookmarkEnd w:id="85"/>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6038" w:type="dxa"/>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资料名称</w:t>
            </w:r>
          </w:p>
        </w:tc>
        <w:tc>
          <w:tcPr>
            <w:tcW w:w="1417" w:type="dxa"/>
            <w:vAlign w:val="center"/>
          </w:tcPr>
          <w:p>
            <w:pPr>
              <w:spacing w:line="440" w:lineRule="exact"/>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一</w:t>
            </w:r>
          </w:p>
        </w:tc>
        <w:tc>
          <w:tcPr>
            <w:tcW w:w="6038" w:type="dxa"/>
            <w:vAlign w:val="center"/>
          </w:tcPr>
          <w:p>
            <w:pPr>
              <w:spacing w:line="44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报价单</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二</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highlight w:val="none"/>
              </w:rPr>
              <w:t>供应商基本信息</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三</w:t>
            </w:r>
          </w:p>
        </w:tc>
        <w:tc>
          <w:tcPr>
            <w:tcW w:w="6038" w:type="dxa"/>
            <w:vAlign w:val="center"/>
          </w:tcPr>
          <w:p>
            <w:pPr>
              <w:pStyle w:val="73"/>
              <w:spacing w:line="440" w:lineRule="exact"/>
              <w:rPr>
                <w:rFonts w:ascii="宋体" w:hAnsi="宋体" w:cs="宋体"/>
                <w:color w:val="auto"/>
                <w:highlight w:val="none"/>
              </w:rPr>
            </w:pPr>
            <w:r>
              <w:rPr>
                <w:rFonts w:hint="eastAsia" w:ascii="宋体" w:hAnsi="宋体" w:cs="宋体"/>
                <w:color w:val="auto"/>
                <w:szCs w:val="24"/>
                <w:highlight w:val="none"/>
              </w:rPr>
              <w:t>磋商授权书</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四</w:t>
            </w:r>
          </w:p>
        </w:tc>
        <w:tc>
          <w:tcPr>
            <w:tcW w:w="6038" w:type="dxa"/>
            <w:vAlign w:val="center"/>
          </w:tcPr>
          <w:p>
            <w:pPr>
              <w:pStyle w:val="73"/>
              <w:spacing w:line="440" w:lineRule="exact"/>
              <w:rPr>
                <w:rFonts w:ascii="宋体" w:hAnsi="宋体" w:cs="宋体"/>
                <w:color w:val="auto"/>
                <w:highlight w:val="none"/>
              </w:rPr>
            </w:pPr>
            <w:r>
              <w:rPr>
                <w:rFonts w:hint="eastAsia" w:ascii="宋体" w:hAnsi="宋体" w:cs="宋体"/>
                <w:color w:val="auto"/>
                <w:szCs w:val="24"/>
                <w:highlight w:val="none"/>
              </w:rPr>
              <w:t>磋商响应函</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五</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无重大违法记录声明函、无不良信用记录承诺函</w:t>
            </w:r>
          </w:p>
        </w:tc>
        <w:tc>
          <w:tcPr>
            <w:tcW w:w="1417" w:type="dxa"/>
            <w:vAlign w:val="center"/>
          </w:tcPr>
          <w:p>
            <w:pPr>
              <w:spacing w:line="440" w:lineRule="exact"/>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六</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响应情况表</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rPr>
              <w:t>七</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相关服务承诺函</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hint="eastAsia" w:ascii="宋体" w:hAnsi="宋体" w:eastAsia="宋体" w:cs="宋体"/>
                <w:color w:val="auto"/>
                <w:kern w:val="2"/>
                <w:sz w:val="24"/>
                <w:highlight w:val="none"/>
                <w:lang w:val="en-US" w:eastAsia="zh-CN" w:bidi="ar-SA"/>
              </w:rPr>
            </w:pPr>
            <w:r>
              <w:rPr>
                <w:rFonts w:hint="eastAsia" w:ascii="宋体" w:hAnsi="宋体" w:cs="宋体"/>
                <w:color w:val="auto"/>
                <w:sz w:val="24"/>
                <w:highlight w:val="none"/>
                <w:lang w:eastAsia="zh-CN"/>
              </w:rPr>
              <w:t>八</w:t>
            </w:r>
          </w:p>
        </w:tc>
        <w:tc>
          <w:tcPr>
            <w:tcW w:w="6038" w:type="dxa"/>
            <w:vAlign w:val="center"/>
          </w:tcPr>
          <w:p>
            <w:pPr>
              <w:spacing w:line="44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联合体协议（本项目不采用）</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九</w:t>
            </w:r>
          </w:p>
        </w:tc>
        <w:tc>
          <w:tcPr>
            <w:tcW w:w="6038" w:type="dxa"/>
            <w:vAlign w:val="center"/>
          </w:tcPr>
          <w:p>
            <w:pPr>
              <w:spacing w:line="440" w:lineRule="exact"/>
              <w:rPr>
                <w:rFonts w:ascii="宋体" w:hAnsi="宋体" w:cs="宋体"/>
                <w:color w:val="auto"/>
                <w:sz w:val="24"/>
                <w:highlight w:val="none"/>
              </w:rPr>
            </w:pPr>
            <w:r>
              <w:rPr>
                <w:rFonts w:hint="eastAsia" w:ascii="宋体" w:hAnsi="宋体" w:cs="宋体"/>
                <w:color w:val="auto"/>
                <w:sz w:val="24"/>
                <w:szCs w:val="24"/>
                <w:highlight w:val="none"/>
              </w:rPr>
              <w:t>磋商文件要求和供应商认为需要提供的其它说明和资料</w:t>
            </w: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color w:val="auto"/>
                <w:sz w:val="24"/>
                <w:highlight w:val="none"/>
              </w:rPr>
            </w:pPr>
          </w:p>
        </w:tc>
        <w:tc>
          <w:tcPr>
            <w:tcW w:w="6038" w:type="dxa"/>
            <w:vAlign w:val="center"/>
          </w:tcPr>
          <w:p>
            <w:pPr>
              <w:spacing w:line="440" w:lineRule="exact"/>
              <w:rPr>
                <w:rFonts w:ascii="宋体" w:hAnsi="宋体" w:cs="宋体"/>
                <w:color w:val="auto"/>
                <w:sz w:val="24"/>
                <w:highlight w:val="none"/>
              </w:rPr>
            </w:pPr>
          </w:p>
        </w:tc>
        <w:tc>
          <w:tcPr>
            <w:tcW w:w="1417" w:type="dxa"/>
            <w:vAlign w:val="center"/>
          </w:tcPr>
          <w:p>
            <w:pPr>
              <w:spacing w:line="440" w:lineRule="exact"/>
              <w:rPr>
                <w:rFonts w:ascii="宋体" w:hAnsi="宋体" w:cs="宋体"/>
                <w:b/>
                <w:color w:val="auto"/>
                <w:sz w:val="24"/>
                <w:highlight w:val="none"/>
              </w:rPr>
            </w:pPr>
          </w:p>
        </w:tc>
      </w:tr>
    </w:tbl>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jc w:val="center"/>
        <w:rPr>
          <w:rFonts w:hint="eastAsia" w:ascii="Times New Roman" w:hAnsi="Times New Roman" w:eastAsia="宋体" w:cs="Times New Roman"/>
          <w:b/>
          <w:bCs/>
          <w:color w:val="auto"/>
          <w:kern w:val="2"/>
          <w:sz w:val="32"/>
          <w:szCs w:val="22"/>
          <w:highlight w:val="none"/>
          <w:vertAlign w:val="baseline"/>
          <w:lang w:val="en-US" w:eastAsia="zh-CN" w:bidi="ar-SA"/>
        </w:rPr>
      </w:pPr>
      <w:r>
        <w:rPr>
          <w:rFonts w:hint="eastAsia" w:ascii="宋体" w:hAnsi="宋体" w:eastAsia="宋体" w:cs="宋体"/>
          <w:color w:val="auto"/>
          <w:sz w:val="24"/>
          <w:szCs w:val="24"/>
          <w:highlight w:val="none"/>
        </w:rPr>
        <w:br w:type="page"/>
      </w:r>
      <w:r>
        <w:rPr>
          <w:rFonts w:hint="eastAsia" w:ascii="宋体" w:hAnsi="宋体" w:cs="宋体"/>
          <w:color w:val="auto"/>
          <w:sz w:val="24"/>
          <w:szCs w:val="24"/>
          <w:highlight w:val="none"/>
          <w:lang w:val="en-US" w:eastAsia="zh-CN"/>
        </w:rPr>
        <w:t xml:space="preserve"> </w:t>
      </w:r>
    </w:p>
    <w:p>
      <w:pPr>
        <w:pStyle w:val="8"/>
        <w:wordWrap w:val="0"/>
        <w:spacing w:before="0" w:after="0" w:line="5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r>
        <w:rPr>
          <w:rFonts w:hint="eastAsia" w:ascii="宋体" w:hAnsi="宋体" w:eastAsia="宋体" w:cs="宋体"/>
          <w:color w:val="auto"/>
          <w:sz w:val="24"/>
          <w:szCs w:val="24"/>
          <w:highlight w:val="none"/>
          <w:lang w:eastAsia="zh-CN"/>
        </w:rPr>
        <w:t>一</w:t>
      </w:r>
    </w:p>
    <w:p>
      <w:pPr>
        <w:jc w:val="center"/>
        <w:rPr>
          <w:rFonts w:hint="eastAsia" w:ascii="Times New Roman" w:hAnsi="Times New Roman" w:eastAsia="宋体" w:cs="Times New Roman"/>
          <w:b/>
          <w:bCs/>
          <w:color w:val="auto"/>
          <w:kern w:val="2"/>
          <w:sz w:val="32"/>
          <w:szCs w:val="22"/>
          <w:highlight w:val="none"/>
          <w:vertAlign w:val="baseline"/>
          <w:lang w:val="en-US" w:eastAsia="zh-CN" w:bidi="ar-SA"/>
        </w:rPr>
      </w:pPr>
      <w:r>
        <w:rPr>
          <w:rFonts w:hint="eastAsia" w:ascii="Times New Roman" w:hAnsi="Times New Roman" w:eastAsia="宋体" w:cs="Times New Roman"/>
          <w:b/>
          <w:bCs/>
          <w:color w:val="auto"/>
          <w:kern w:val="2"/>
          <w:sz w:val="32"/>
          <w:szCs w:val="22"/>
          <w:highlight w:val="none"/>
          <w:vertAlign w:val="baseline"/>
          <w:lang w:val="en-US" w:eastAsia="zh-CN" w:bidi="ar-SA"/>
        </w:rPr>
        <w:t>报 价 单</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int="eastAsia" w:ascii="新宋体" w:hAnsi="新宋体" w:eastAsia="新宋体" w:cs="新宋体"/>
                <w:bCs/>
                <w:color w:val="auto"/>
                <w:sz w:val="24"/>
                <w:szCs w:val="24"/>
                <w:highlight w:val="none"/>
                <w:u w:val="single"/>
              </w:rPr>
            </w:pPr>
            <w:r>
              <w:rPr>
                <w:rFonts w:hint="eastAsia" w:ascii="新宋体" w:hAnsi="新宋体" w:eastAsia="新宋体" w:cs="新宋体"/>
                <w:bCs/>
                <w:color w:val="auto"/>
                <w:sz w:val="24"/>
                <w:szCs w:val="24"/>
                <w:highlight w:val="none"/>
              </w:rPr>
              <w:t>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项目编号</w:t>
            </w:r>
          </w:p>
        </w:tc>
        <w:tc>
          <w:tcPr>
            <w:tcW w:w="6667" w:type="dxa"/>
            <w:tcBorders>
              <w:top w:val="nil"/>
            </w:tcBorders>
            <w:vAlign w:val="center"/>
          </w:tcPr>
          <w:p>
            <w:pPr>
              <w:jc w:val="center"/>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响应供应商全称</w:t>
            </w:r>
          </w:p>
        </w:tc>
        <w:tc>
          <w:tcPr>
            <w:tcW w:w="6667" w:type="dxa"/>
            <w:tcBorders>
              <w:top w:val="nil"/>
            </w:tcBorders>
            <w:vAlign w:val="center"/>
          </w:tcPr>
          <w:p>
            <w:pPr>
              <w:spacing w:line="360" w:lineRule="auto"/>
              <w:rPr>
                <w:rFonts w:hint="eastAsia" w:ascii="新宋体" w:hAnsi="新宋体" w:eastAsia="新宋体" w:cs="新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响应范围</w:t>
            </w:r>
          </w:p>
        </w:tc>
        <w:tc>
          <w:tcPr>
            <w:tcW w:w="6667" w:type="dxa"/>
            <w:tcBorders>
              <w:top w:val="nil"/>
            </w:tcBorders>
            <w:vAlign w:val="center"/>
          </w:tcPr>
          <w:p>
            <w:pPr>
              <w:spacing w:line="360" w:lineRule="exact"/>
              <w:rPr>
                <w:rFonts w:hint="eastAsia" w:ascii="新宋体" w:hAnsi="新宋体" w:eastAsia="新宋体" w:cs="新宋体"/>
                <w:bCs/>
                <w:color w:val="auto"/>
                <w:sz w:val="24"/>
                <w:szCs w:val="24"/>
                <w:highlight w:val="none"/>
              </w:rPr>
            </w:pPr>
            <w:r>
              <w:rPr>
                <w:rFonts w:hint="eastAsia" w:ascii="新宋体" w:hAnsi="新宋体" w:eastAsia="新宋体" w:cs="新宋体"/>
                <w:bCs/>
                <w:color w:val="auto"/>
                <w:sz w:val="24"/>
                <w:szCs w:val="24"/>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hint="eastAsia" w:ascii="新宋体" w:hAnsi="新宋体" w:eastAsia="新宋体" w:cs="新宋体"/>
                <w:b/>
                <w:color w:val="auto"/>
                <w:sz w:val="24"/>
                <w:szCs w:val="24"/>
                <w:highlight w:val="none"/>
                <w:lang w:eastAsia="zh-CN"/>
              </w:rPr>
            </w:pPr>
            <w:r>
              <w:rPr>
                <w:rFonts w:hint="eastAsia" w:ascii="新宋体" w:hAnsi="新宋体" w:eastAsia="新宋体" w:cs="新宋体"/>
                <w:b/>
                <w:color w:val="auto"/>
                <w:sz w:val="24"/>
                <w:szCs w:val="24"/>
                <w:highlight w:val="none"/>
              </w:rPr>
              <w:t>响应报价</w:t>
            </w:r>
            <w:r>
              <w:rPr>
                <w:rFonts w:hint="eastAsia" w:ascii="新宋体" w:hAnsi="新宋体" w:eastAsia="新宋体" w:cs="新宋体"/>
                <w:b/>
                <w:color w:val="auto"/>
                <w:sz w:val="24"/>
                <w:szCs w:val="24"/>
                <w:highlight w:val="none"/>
                <w:lang w:eastAsia="zh-CN"/>
              </w:rPr>
              <w:t>（元）</w:t>
            </w:r>
          </w:p>
        </w:tc>
        <w:tc>
          <w:tcPr>
            <w:tcW w:w="6667" w:type="dxa"/>
            <w:tcBorders>
              <w:top w:val="nil"/>
            </w:tcBorders>
            <w:vAlign w:val="center"/>
          </w:tcPr>
          <w:p>
            <w:pPr>
              <w:spacing w:line="560" w:lineRule="exact"/>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lang w:eastAsia="zh-CN"/>
              </w:rPr>
              <w:t>大写：</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rPr>
              <w:t xml:space="preserve">（精确到小数点后两位，可编辑） </w:t>
            </w:r>
          </w:p>
          <w:p>
            <w:pPr>
              <w:spacing w:line="560" w:lineRule="exact"/>
              <w:rPr>
                <w:rFonts w:hint="eastAsia" w:ascii="新宋体" w:hAnsi="新宋体" w:eastAsia="新宋体" w:cs="新宋体"/>
                <w:bCs/>
                <w:color w:val="auto"/>
                <w:sz w:val="24"/>
                <w:szCs w:val="24"/>
                <w:highlight w:val="none"/>
              </w:rPr>
            </w:pPr>
            <w:r>
              <w:rPr>
                <w:rFonts w:hint="eastAsia" w:ascii="新宋体" w:hAnsi="新宋体" w:eastAsia="新宋体" w:cs="新宋体"/>
                <w:color w:val="auto"/>
                <w:sz w:val="24"/>
                <w:szCs w:val="24"/>
                <w:highlight w:val="none"/>
                <w:lang w:eastAsia="zh-CN"/>
              </w:rPr>
              <w:t>小写（元）为</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sz w:val="24"/>
                <w:szCs w:val="24"/>
                <w:highlight w:val="none"/>
                <w:u w:val="single"/>
              </w:rPr>
              <w:t xml:space="preserve">        </w:t>
            </w:r>
            <w:r>
              <w:rPr>
                <w:rFonts w:hint="eastAsia" w:ascii="新宋体" w:hAnsi="新宋体" w:eastAsia="新宋体" w:cs="新宋体"/>
                <w:color w:val="auto"/>
                <w:sz w:val="24"/>
                <w:szCs w:val="24"/>
                <w:highlight w:val="none"/>
                <w:u w:val="single"/>
                <w:lang w:val="en-US" w:eastAsia="zh-CN"/>
              </w:rPr>
              <w:t xml:space="preserve">   </w:t>
            </w:r>
            <w:r>
              <w:rPr>
                <w:rFonts w:hint="eastAsia" w:ascii="新宋体" w:hAnsi="新宋体" w:eastAsia="新宋体" w:cs="新宋体"/>
                <w:color w:val="auto"/>
                <w:sz w:val="24"/>
                <w:szCs w:val="24"/>
                <w:highlight w:val="none"/>
              </w:rPr>
              <w:t xml:space="preserve"> （精确到小数点后两位，可编辑）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hint="eastAsia" w:ascii="新宋体" w:hAnsi="新宋体" w:eastAsia="新宋体" w:cs="新宋体"/>
                <w:b/>
                <w:color w:val="auto"/>
                <w:sz w:val="24"/>
                <w:szCs w:val="24"/>
                <w:highlight w:val="none"/>
              </w:rPr>
            </w:pPr>
            <w:r>
              <w:rPr>
                <w:rFonts w:hint="eastAsia" w:ascii="新宋体" w:hAnsi="新宋体" w:eastAsia="新宋体" w:cs="新宋体"/>
                <w:b/>
                <w:color w:val="auto"/>
                <w:sz w:val="24"/>
                <w:szCs w:val="24"/>
                <w:highlight w:val="none"/>
              </w:rPr>
              <w:t>备注</w:t>
            </w:r>
          </w:p>
        </w:tc>
        <w:tc>
          <w:tcPr>
            <w:tcW w:w="6667" w:type="dxa"/>
            <w:tcBorders>
              <w:top w:val="nil"/>
            </w:tcBorders>
            <w:vAlign w:val="center"/>
          </w:tcPr>
          <w:p>
            <w:pPr>
              <w:spacing w:line="520" w:lineRule="exact"/>
              <w:rPr>
                <w:rFonts w:hint="eastAsia" w:ascii="新宋体" w:hAnsi="新宋体" w:eastAsia="新宋体" w:cs="新宋体"/>
                <w:b/>
                <w:color w:val="auto"/>
                <w:sz w:val="24"/>
                <w:szCs w:val="24"/>
                <w:highlight w:val="none"/>
                <w:lang w:val="en-US" w:eastAsia="zh-CN"/>
              </w:rPr>
            </w:pPr>
            <w:r>
              <w:rPr>
                <w:rFonts w:hint="eastAsia" w:ascii="新宋体" w:hAnsi="新宋体" w:eastAsia="新宋体" w:cs="新宋体"/>
                <w:b/>
                <w:color w:val="auto"/>
                <w:sz w:val="24"/>
                <w:szCs w:val="24"/>
                <w:highlight w:val="none"/>
                <w:lang w:val="en-US" w:eastAsia="zh-CN"/>
              </w:rPr>
              <w:t>淠河防洪治理工程（霍山段）环境保护监测及验收服务全部内容</w:t>
            </w:r>
          </w:p>
          <w:p>
            <w:pPr>
              <w:spacing w:line="360" w:lineRule="auto"/>
              <w:rPr>
                <w:rFonts w:hint="eastAsia" w:ascii="新宋体" w:hAnsi="新宋体" w:eastAsia="新宋体" w:cs="新宋体"/>
                <w:bCs/>
                <w:color w:val="auto"/>
                <w:sz w:val="24"/>
                <w:szCs w:val="24"/>
                <w:highlight w:val="none"/>
              </w:rPr>
            </w:pPr>
          </w:p>
        </w:tc>
      </w:tr>
    </w:tbl>
    <w:p>
      <w:pPr>
        <w:pStyle w:val="2"/>
        <w:rPr>
          <w:rFonts w:hint="eastAsia" w:ascii="Times New Roman" w:hAnsi="Times New Roman" w:eastAsia="宋体" w:cs="Times New Roman"/>
          <w:b/>
          <w:bCs/>
          <w:color w:val="auto"/>
          <w:kern w:val="2"/>
          <w:sz w:val="24"/>
          <w:szCs w:val="20"/>
          <w:highlight w:val="none"/>
          <w:vertAlign w:val="baseline"/>
          <w:lang w:val="en-US" w:eastAsia="zh-CN" w:bidi="ar-SA"/>
        </w:rPr>
      </w:pPr>
    </w:p>
    <w:p>
      <w:pPr>
        <w:pStyle w:val="2"/>
        <w:rPr>
          <w:rFonts w:hint="eastAsia"/>
          <w:color w:val="auto"/>
          <w:highlight w:val="none"/>
          <w:lang w:val="en-US" w:eastAsia="zh-CN"/>
        </w:rPr>
      </w:pPr>
      <w:r>
        <w:rPr>
          <w:rFonts w:hint="eastAsia"/>
          <w:color w:val="auto"/>
          <w:highlight w:val="none"/>
          <w:lang w:val="en-US" w:eastAsia="zh-CN"/>
        </w:rPr>
        <w:t xml:space="preserve">  </w:t>
      </w:r>
    </w:p>
    <w:p>
      <w:pPr>
        <w:rPr>
          <w:rFonts w:hint="eastAsia"/>
          <w:color w:val="auto"/>
          <w:highlight w:val="none"/>
          <w:lang w:val="en-US" w:eastAsia="zh-CN"/>
        </w:rPr>
      </w:pPr>
    </w:p>
    <w:p>
      <w:pPr>
        <w:pStyle w:val="2"/>
        <w:ind w:firstLine="5282" w:firstLineChars="2201"/>
        <w:rPr>
          <w:rFonts w:hint="eastAsia"/>
          <w:color w:val="auto"/>
          <w:highlight w:val="none"/>
          <w:lang w:val="en-US" w:eastAsia="zh-CN"/>
        </w:rPr>
      </w:pPr>
      <w:r>
        <w:rPr>
          <w:rFonts w:hint="eastAsia"/>
          <w:color w:val="auto"/>
          <w:highlight w:val="none"/>
          <w:lang w:val="en-US" w:eastAsia="zh-CN"/>
        </w:rPr>
        <w:t>供应商加盖公章：</w:t>
      </w:r>
    </w:p>
    <w:p>
      <w:pPr>
        <w:ind w:firstLine="4620" w:firstLineChars="2200"/>
        <w:rPr>
          <w:rFonts w:hint="eastAsia"/>
          <w:color w:val="auto"/>
          <w:highlight w:val="none"/>
          <w:lang w:val="en-US" w:eastAsia="zh-CN"/>
        </w:rPr>
      </w:pPr>
    </w:p>
    <w:p>
      <w:pPr>
        <w:ind w:firstLine="5250" w:firstLineChars="2500"/>
        <w:rPr>
          <w:rFonts w:hint="eastAsia"/>
          <w:color w:val="auto"/>
          <w:highlight w:val="none"/>
          <w:lang w:val="en-US" w:eastAsia="zh-CN"/>
        </w:rPr>
      </w:pPr>
      <w:r>
        <w:rPr>
          <w:rFonts w:hint="eastAsia"/>
          <w:color w:val="auto"/>
          <w:highlight w:val="none"/>
          <w:lang w:val="en-US" w:eastAsia="zh-CN"/>
        </w:rPr>
        <w:t>日    期：    年   月   日</w:t>
      </w:r>
    </w:p>
    <w:p>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pPr>
        <w:keepNext w:val="0"/>
        <w:keepLines w:val="0"/>
        <w:widowControl/>
        <w:suppressLineNumbers w:val="0"/>
        <w:jc w:val="left"/>
        <w:rPr>
          <w:rFonts w:ascii="仿宋" w:hAnsi="仿宋" w:eastAsia="仿宋" w:cs="仿宋"/>
          <w:b/>
          <w:bCs/>
          <w:color w:val="auto"/>
          <w:kern w:val="0"/>
          <w:sz w:val="24"/>
          <w:szCs w:val="24"/>
          <w:highlight w:val="none"/>
          <w:lang w:val="en-US" w:eastAsia="zh-CN" w:bidi="ar"/>
        </w:rPr>
      </w:pPr>
    </w:p>
    <w:p>
      <w:pPr>
        <w:keepNext w:val="0"/>
        <w:keepLines w:val="0"/>
        <w:widowControl/>
        <w:suppressLineNumbers w:val="0"/>
        <w:jc w:val="left"/>
        <w:rPr>
          <w:color w:val="auto"/>
          <w:highlight w:val="none"/>
        </w:rPr>
      </w:pPr>
      <w:r>
        <w:rPr>
          <w:rFonts w:ascii="仿宋" w:hAnsi="仿宋" w:eastAsia="仿宋" w:cs="仿宋"/>
          <w:b/>
          <w:bCs/>
          <w:color w:val="auto"/>
          <w:kern w:val="0"/>
          <w:sz w:val="24"/>
          <w:szCs w:val="24"/>
          <w:highlight w:val="none"/>
          <w:lang w:val="en-US" w:eastAsia="zh-CN" w:bidi="ar"/>
        </w:rPr>
        <w:t xml:space="preserve">注：表中所列服务为对应本项目需求的全部服务内容。如有漏项或缺项，供应商承担 </w:t>
      </w:r>
    </w:p>
    <w:p>
      <w:pPr>
        <w:keepNext w:val="0"/>
        <w:keepLines w:val="0"/>
        <w:widowControl/>
        <w:suppressLineNumbers w:val="0"/>
        <w:jc w:val="left"/>
        <w:rPr>
          <w:color w:val="auto"/>
          <w:highlight w:val="none"/>
        </w:rPr>
      </w:pPr>
      <w:r>
        <w:rPr>
          <w:rFonts w:hint="eastAsia" w:ascii="仿宋" w:hAnsi="仿宋" w:eastAsia="仿宋" w:cs="仿宋"/>
          <w:b/>
          <w:bCs/>
          <w:color w:val="auto"/>
          <w:kern w:val="0"/>
          <w:sz w:val="24"/>
          <w:szCs w:val="24"/>
          <w:highlight w:val="none"/>
          <w:lang w:val="en-US" w:eastAsia="zh-CN" w:bidi="ar"/>
        </w:rPr>
        <w:t>全部责任。</w:t>
      </w:r>
    </w:p>
    <w:p>
      <w:pPr>
        <w:pStyle w:val="2"/>
        <w:rPr>
          <w:rFonts w:hint="eastAsia" w:ascii="Times New Roman" w:hAnsi="Times New Roman" w:eastAsia="宋体" w:cs="Times New Roman"/>
          <w:b/>
          <w:bCs/>
          <w:color w:val="auto"/>
          <w:kern w:val="2"/>
          <w:sz w:val="24"/>
          <w:szCs w:val="20"/>
          <w:highlight w:val="none"/>
          <w:vertAlign w:val="baseline"/>
          <w:lang w:val="en-US" w:eastAsia="zh-CN" w:bidi="ar-SA"/>
        </w:rPr>
      </w:pPr>
    </w:p>
    <w:p>
      <w:pPr>
        <w:pStyle w:val="2"/>
        <w:rPr>
          <w:rFonts w:hint="eastAsia"/>
          <w:color w:val="auto"/>
          <w:highlight w:val="none"/>
          <w:lang w:val="en-US" w:eastAsia="zh-CN"/>
        </w:rPr>
      </w:pPr>
      <w:r>
        <w:rPr>
          <w:rFonts w:hint="eastAsia"/>
          <w:color w:val="auto"/>
          <w:highlight w:val="none"/>
          <w:lang w:val="en-US" w:eastAsia="zh-CN"/>
        </w:rPr>
        <w:t xml:space="preserve">  </w:t>
      </w:r>
    </w:p>
    <w:p>
      <w:pPr>
        <w:rPr>
          <w:rFonts w:hint="eastAsia"/>
          <w:color w:val="auto"/>
          <w:highlight w:val="none"/>
          <w:lang w:val="en-US" w:eastAsia="zh-CN"/>
        </w:rPr>
      </w:pPr>
    </w:p>
    <w:p>
      <w:pPr>
        <w:rPr>
          <w:rFonts w:ascii="仿宋" w:hAnsi="仿宋" w:eastAsia="仿宋" w:cs="仿宋"/>
          <w:b/>
          <w:bCs/>
          <w:color w:val="auto"/>
          <w:kern w:val="0"/>
          <w:sz w:val="28"/>
          <w:szCs w:val="28"/>
          <w:highlight w:val="none"/>
          <w:lang w:val="en-US" w:eastAsia="zh-CN" w:bidi="ar"/>
        </w:rPr>
      </w:pPr>
      <w:r>
        <w:rPr>
          <w:rFonts w:ascii="仿宋" w:hAnsi="仿宋" w:eastAsia="仿宋" w:cs="仿宋"/>
          <w:b/>
          <w:bCs/>
          <w:color w:val="auto"/>
          <w:kern w:val="0"/>
          <w:sz w:val="28"/>
          <w:szCs w:val="28"/>
          <w:highlight w:val="none"/>
          <w:lang w:val="en-US" w:eastAsia="zh-CN" w:bidi="ar"/>
        </w:rPr>
        <w:br w:type="page"/>
      </w:r>
    </w:p>
    <w:p>
      <w:pPr>
        <w:pStyle w:val="2"/>
        <w:ind w:left="0" w:leftChars="0" w:firstLine="0" w:firstLineChars="0"/>
        <w:rPr>
          <w:rFonts w:hint="default"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附件二</w:t>
      </w:r>
    </w:p>
    <w:p>
      <w:pPr>
        <w:pStyle w:val="8"/>
        <w:spacing w:before="0" w:after="0" w:line="520" w:lineRule="exact"/>
        <w:jc w:val="center"/>
        <w:rPr>
          <w:rFonts w:ascii="宋体" w:hAnsi="宋体" w:eastAsia="宋体" w:cs="宋体"/>
          <w:color w:val="auto"/>
          <w:sz w:val="24"/>
          <w:szCs w:val="24"/>
          <w:highlight w:val="none"/>
        </w:rPr>
      </w:pPr>
      <w:bookmarkStart w:id="86" w:name="_Toc17280"/>
      <w:bookmarkStart w:id="87" w:name="_Toc29464"/>
      <w:bookmarkStart w:id="88" w:name="_Toc3262"/>
      <w:r>
        <w:rPr>
          <w:rFonts w:hint="eastAsia" w:ascii="宋体" w:hAnsi="宋体" w:eastAsia="宋体" w:cs="宋体"/>
          <w:color w:val="auto"/>
          <w:sz w:val="24"/>
          <w:szCs w:val="24"/>
          <w:highlight w:val="none"/>
        </w:rPr>
        <w:t>供应商基本信息</w:t>
      </w:r>
      <w:bookmarkEnd w:id="86"/>
      <w:bookmarkEnd w:id="87"/>
      <w:bookmarkEnd w:id="88"/>
    </w:p>
    <w:p>
      <w:pPr>
        <w:pStyle w:val="2"/>
        <w:spacing w:after="0" w:line="520" w:lineRule="exact"/>
        <w:ind w:firstLine="0"/>
        <w:jc w:val="center"/>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eastAsia="zh-CN"/>
        </w:rPr>
        <w:t>自行编辑</w:t>
      </w:r>
      <w:r>
        <w:rPr>
          <w:rFonts w:hint="eastAsia" w:ascii="宋体" w:hAnsi="宋体" w:cs="宋体"/>
          <w:color w:val="auto"/>
          <w:highlight w:val="none"/>
        </w:rPr>
        <w:t>）</w:t>
      </w:r>
    </w:p>
    <w:p>
      <w:pPr>
        <w:pStyle w:val="8"/>
        <w:wordWrap w:val="0"/>
        <w:spacing w:before="0" w:after="0" w:line="520" w:lineRule="exact"/>
        <w:rPr>
          <w:rFonts w:hint="eastAsia" w:ascii="宋体" w:hAnsi="宋体" w:eastAsia="宋体" w:cs="宋体"/>
          <w:color w:val="auto"/>
          <w:sz w:val="24"/>
          <w:szCs w:val="24"/>
          <w:highlight w:val="none"/>
          <w:lang w:eastAsia="zh-CN"/>
        </w:rPr>
      </w:pPr>
      <w:bookmarkStart w:id="89" w:name="_Toc18369"/>
      <w:bookmarkStart w:id="90" w:name="_Toc11062"/>
      <w:bookmarkStart w:id="91" w:name="_Toc10154"/>
      <w:r>
        <w:rPr>
          <w:rFonts w:hint="eastAsia" w:ascii="宋体" w:hAnsi="宋体" w:eastAsia="宋体" w:cs="宋体"/>
          <w:color w:val="auto"/>
          <w:sz w:val="24"/>
          <w:szCs w:val="24"/>
          <w:highlight w:val="none"/>
        </w:rPr>
        <w:t>附件</w:t>
      </w:r>
      <w:bookmarkEnd w:id="89"/>
      <w:bookmarkEnd w:id="90"/>
      <w:bookmarkEnd w:id="91"/>
      <w:r>
        <w:rPr>
          <w:rFonts w:hint="eastAsia" w:ascii="宋体" w:hAnsi="宋体" w:eastAsia="宋体" w:cs="宋体"/>
          <w:color w:val="auto"/>
          <w:sz w:val="24"/>
          <w:szCs w:val="24"/>
          <w:highlight w:val="none"/>
          <w:lang w:eastAsia="zh-CN"/>
        </w:rPr>
        <w:t>三</w:t>
      </w:r>
    </w:p>
    <w:p>
      <w:pPr>
        <w:spacing w:before="91" w:line="219" w:lineRule="auto"/>
        <w:ind w:left="4166"/>
        <w:outlineLvl w:val="1"/>
        <w:rPr>
          <w:rFonts w:ascii="宋体" w:hAnsi="宋体" w:eastAsia="宋体" w:cs="宋体"/>
          <w:color w:val="auto"/>
          <w:sz w:val="28"/>
          <w:szCs w:val="28"/>
          <w:highlight w:val="none"/>
        </w:rPr>
      </w:pPr>
      <w:bookmarkStart w:id="92" w:name="_Toc17226"/>
      <w:bookmarkStart w:id="93" w:name="_Toc23589"/>
      <w:bookmarkStart w:id="94" w:name="_Toc17888"/>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磋商授权书</w:t>
      </w:r>
    </w:p>
    <w:p>
      <w:pPr>
        <w:pStyle w:val="3"/>
        <w:spacing w:line="277" w:lineRule="auto"/>
        <w:rPr>
          <w:color w:val="auto"/>
          <w:highlight w:val="none"/>
        </w:rPr>
      </w:pPr>
    </w:p>
    <w:p>
      <w:pPr>
        <w:pStyle w:val="3"/>
        <w:spacing w:line="277" w:lineRule="auto"/>
        <w:rPr>
          <w:color w:val="auto"/>
          <w:highlight w:val="none"/>
        </w:rPr>
      </w:pPr>
    </w:p>
    <w:p>
      <w:pPr>
        <w:pStyle w:val="3"/>
        <w:spacing w:line="277" w:lineRule="auto"/>
        <w:rPr>
          <w:color w:val="auto"/>
          <w:highlight w:val="none"/>
        </w:rPr>
      </w:pPr>
    </w:p>
    <w:p>
      <w:pPr>
        <w:spacing w:before="78" w:line="220" w:lineRule="auto"/>
        <w:ind w:left="477"/>
        <w:rPr>
          <w:rFonts w:hint="eastAsia"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rPr>
        <w:t>致：</w:t>
      </w:r>
      <w:r>
        <w:rPr>
          <w:rFonts w:ascii="宋体" w:hAnsi="宋体" w:eastAsia="宋体" w:cs="宋体"/>
          <w:color w:val="auto"/>
          <w:sz w:val="24"/>
          <w:szCs w:val="24"/>
          <w:highlight w:val="none"/>
          <w:u w:val="single" w:color="auto"/>
        </w:rPr>
        <w:t xml:space="preserve">                 </w:t>
      </w:r>
      <w:r>
        <w:rPr>
          <w:rFonts w:hint="eastAsia" w:ascii="宋体" w:hAnsi="宋体" w:eastAsia="宋体" w:cs="宋体"/>
          <w:color w:val="auto"/>
          <w:sz w:val="24"/>
          <w:szCs w:val="24"/>
          <w:highlight w:val="none"/>
          <w:u w:val="single" w:color="auto"/>
          <w:lang w:eastAsia="zh-CN"/>
        </w:rPr>
        <w:t>（采购人）</w:t>
      </w:r>
    </w:p>
    <w:p>
      <w:pPr>
        <w:spacing w:before="234" w:line="400" w:lineRule="auto"/>
        <w:ind w:left="16" w:firstLine="4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本授权书声明</w:t>
      </w:r>
      <w:r>
        <w:rPr>
          <w:rFonts w:ascii="宋体" w:hAnsi="宋体" w:eastAsia="宋体" w:cs="宋体"/>
          <w:color w:val="auto"/>
          <w:spacing w:val="-33"/>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3"/>
          <w:sz w:val="24"/>
          <w:szCs w:val="24"/>
          <w:highlight w:val="none"/>
        </w:rPr>
        <w:t>（</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名称）的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（法人代表姓名）授权</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（被授权人</w:t>
      </w:r>
      <w:r>
        <w:rPr>
          <w:rFonts w:ascii="宋体" w:hAnsi="宋体" w:eastAsia="宋体" w:cs="宋体"/>
          <w:color w:val="auto"/>
          <w:sz w:val="24"/>
          <w:szCs w:val="24"/>
          <w:highlight w:val="none"/>
        </w:rPr>
        <w:t xml:space="preserve"> 的姓名）为我方就</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（编</w:t>
      </w:r>
      <w:r>
        <w:rPr>
          <w:rFonts w:ascii="宋体" w:hAnsi="宋体" w:eastAsia="宋体" w:cs="宋体"/>
          <w:color w:val="auto"/>
          <w:spacing w:val="-1"/>
          <w:sz w:val="24"/>
          <w:szCs w:val="24"/>
          <w:highlight w:val="none"/>
        </w:rPr>
        <w:t>号</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82"/>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pacing w:val="-1"/>
          <w:sz w:val="24"/>
          <w:szCs w:val="24"/>
          <w:highlight w:val="none"/>
        </w:rPr>
        <w:t>项目磋商活动的合法代理人，以我方名义全权处</w:t>
      </w:r>
    </w:p>
    <w:p>
      <w:pPr>
        <w:spacing w:before="1"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理与该项目磋商、签订合同以及合同执行有关的一切事务。</w:t>
      </w:r>
    </w:p>
    <w:p>
      <w:pPr>
        <w:spacing w:before="236" w:line="219" w:lineRule="auto"/>
        <w:ind w:left="47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特此声明。</w:t>
      </w:r>
    </w:p>
    <w:p>
      <w:pPr>
        <w:pStyle w:val="3"/>
        <w:spacing w:line="335" w:lineRule="auto"/>
        <w:rPr>
          <w:color w:val="auto"/>
          <w:highlight w:val="none"/>
        </w:rPr>
      </w:pPr>
    </w:p>
    <w:p>
      <w:pPr>
        <w:pStyle w:val="3"/>
        <w:spacing w:line="336" w:lineRule="auto"/>
        <w:rPr>
          <w:color w:val="auto"/>
          <w:highlight w:val="none"/>
        </w:rPr>
      </w:pPr>
    </w:p>
    <w:p>
      <w:pPr>
        <w:spacing w:before="78" w:line="219" w:lineRule="auto"/>
        <w:ind w:left="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法定代表人签字（或盖章</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w:t>
      </w:r>
    </w:p>
    <w:p>
      <w:pPr>
        <w:spacing w:before="237" w:line="521" w:lineRule="exact"/>
        <w:ind w:left="1678"/>
        <w:rPr>
          <w:rFonts w:ascii="宋体" w:hAnsi="宋体" w:eastAsia="宋体" w:cs="宋体"/>
          <w:color w:val="auto"/>
          <w:sz w:val="24"/>
          <w:szCs w:val="24"/>
          <w:highlight w:val="none"/>
        </w:rPr>
      </w:pPr>
      <w:r>
        <w:rPr>
          <w:rFonts w:ascii="宋体" w:hAnsi="宋体" w:eastAsia="宋体" w:cs="宋体"/>
          <w:color w:val="auto"/>
          <w:spacing w:val="-8"/>
          <w:position w:val="21"/>
          <w:sz w:val="24"/>
          <w:szCs w:val="24"/>
          <w:highlight w:val="none"/>
        </w:rPr>
        <w:t>职</w:t>
      </w:r>
      <w:r>
        <w:rPr>
          <w:rFonts w:ascii="宋体" w:hAnsi="宋体" w:eastAsia="宋体" w:cs="宋体"/>
          <w:color w:val="auto"/>
          <w:spacing w:val="3"/>
          <w:position w:val="21"/>
          <w:sz w:val="24"/>
          <w:szCs w:val="24"/>
          <w:highlight w:val="none"/>
        </w:rPr>
        <w:t xml:space="preserve">    </w:t>
      </w:r>
      <w:r>
        <w:rPr>
          <w:rFonts w:ascii="宋体" w:hAnsi="宋体" w:eastAsia="宋体" w:cs="宋体"/>
          <w:color w:val="auto"/>
          <w:spacing w:val="-8"/>
          <w:position w:val="21"/>
          <w:sz w:val="24"/>
          <w:szCs w:val="24"/>
          <w:highlight w:val="none"/>
        </w:rPr>
        <w:t>务：</w:t>
      </w:r>
    </w:p>
    <w:p>
      <w:pPr>
        <w:spacing w:line="218" w:lineRule="auto"/>
        <w:ind w:left="16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联系手机：</w:t>
      </w:r>
    </w:p>
    <w:p>
      <w:pPr>
        <w:spacing w:before="235" w:line="220" w:lineRule="auto"/>
        <w:ind w:left="16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固定电话：</w:t>
      </w:r>
    </w:p>
    <w:p>
      <w:pPr>
        <w:spacing w:before="235" w:line="219" w:lineRule="auto"/>
        <w:ind w:left="47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代理人（被授权人</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签字</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w:t>
      </w:r>
    </w:p>
    <w:p>
      <w:pPr>
        <w:spacing w:before="236" w:line="518" w:lineRule="exact"/>
        <w:ind w:left="1678"/>
        <w:rPr>
          <w:rFonts w:ascii="宋体" w:hAnsi="宋体" w:eastAsia="宋体" w:cs="宋体"/>
          <w:color w:val="auto"/>
          <w:sz w:val="24"/>
          <w:szCs w:val="24"/>
          <w:highlight w:val="none"/>
        </w:rPr>
      </w:pPr>
      <w:r>
        <w:rPr>
          <w:rFonts w:ascii="宋体" w:hAnsi="宋体" w:eastAsia="宋体" w:cs="宋体"/>
          <w:color w:val="auto"/>
          <w:spacing w:val="-8"/>
          <w:position w:val="21"/>
          <w:sz w:val="24"/>
          <w:szCs w:val="24"/>
          <w:highlight w:val="none"/>
        </w:rPr>
        <w:t>职</w:t>
      </w:r>
      <w:r>
        <w:rPr>
          <w:rFonts w:ascii="宋体" w:hAnsi="宋体" w:eastAsia="宋体" w:cs="宋体"/>
          <w:color w:val="auto"/>
          <w:spacing w:val="3"/>
          <w:position w:val="21"/>
          <w:sz w:val="24"/>
          <w:szCs w:val="24"/>
          <w:highlight w:val="none"/>
        </w:rPr>
        <w:t xml:space="preserve">    </w:t>
      </w:r>
      <w:r>
        <w:rPr>
          <w:rFonts w:ascii="宋体" w:hAnsi="宋体" w:eastAsia="宋体" w:cs="宋体"/>
          <w:color w:val="auto"/>
          <w:spacing w:val="-8"/>
          <w:position w:val="21"/>
          <w:sz w:val="24"/>
          <w:szCs w:val="24"/>
          <w:highlight w:val="none"/>
        </w:rPr>
        <w:t>务：</w:t>
      </w:r>
    </w:p>
    <w:p>
      <w:pPr>
        <w:spacing w:before="1" w:line="218" w:lineRule="auto"/>
        <w:ind w:left="16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联系手机：</w:t>
      </w:r>
    </w:p>
    <w:p>
      <w:pPr>
        <w:spacing w:before="236" w:line="220" w:lineRule="auto"/>
        <w:ind w:left="169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固定电话：</w:t>
      </w:r>
    </w:p>
    <w:p>
      <w:pPr>
        <w:spacing w:before="235" w:line="519" w:lineRule="exact"/>
        <w:ind w:left="477"/>
        <w:rPr>
          <w:rFonts w:ascii="宋体" w:hAnsi="宋体" w:eastAsia="宋体" w:cs="宋体"/>
          <w:color w:val="auto"/>
          <w:sz w:val="24"/>
          <w:szCs w:val="24"/>
          <w:highlight w:val="none"/>
        </w:rPr>
      </w:pPr>
      <w:r>
        <w:rPr>
          <w:rFonts w:hint="eastAsia" w:ascii="宋体" w:hAnsi="宋体" w:eastAsia="宋体" w:cs="宋体"/>
          <w:color w:val="auto"/>
          <w:spacing w:val="-2"/>
          <w:position w:val="21"/>
          <w:sz w:val="24"/>
          <w:szCs w:val="24"/>
          <w:highlight w:val="none"/>
          <w:lang w:eastAsia="zh-CN"/>
          <w14:textOutline w14:w="4358" w14:cap="sq" w14:cmpd="sng">
            <w14:solidFill>
              <w14:srgbClr w14:val="000000"/>
            </w14:solidFill>
            <w14:prstDash w14:val="solid"/>
            <w14:bevel/>
          </w14:textOutline>
        </w:rPr>
        <w:t>供应商</w:t>
      </w:r>
      <w:r>
        <w:rPr>
          <w:rFonts w:ascii="宋体" w:hAnsi="宋体" w:eastAsia="宋体" w:cs="宋体"/>
          <w:color w:val="auto"/>
          <w:spacing w:val="-2"/>
          <w:position w:val="21"/>
          <w:sz w:val="24"/>
          <w:szCs w:val="24"/>
          <w:highlight w:val="none"/>
          <w14:textOutline w14:w="4358" w14:cap="sq" w14:cmpd="sng">
            <w14:solidFill>
              <w14:srgbClr w14:val="000000"/>
            </w14:solidFill>
            <w14:prstDash w14:val="solid"/>
            <w14:bevel/>
          </w14:textOutline>
        </w:rPr>
        <w:t>盖章：</w:t>
      </w:r>
    </w:p>
    <w:p>
      <w:pPr>
        <w:spacing w:line="220" w:lineRule="auto"/>
        <w:ind w:left="518"/>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14:textOutline w14:w="4358" w14:cap="sq" w14:cmpd="sng">
            <w14:solidFill>
              <w14:srgbClr w14:val="000000"/>
            </w14:solidFill>
            <w14:prstDash w14:val="solid"/>
            <w14:bevel/>
          </w14:textOutline>
        </w:rPr>
        <w:t>日期：</w:t>
      </w:r>
    </w:p>
    <w:p>
      <w:pPr>
        <w:spacing w:line="220" w:lineRule="auto"/>
        <w:rPr>
          <w:rFonts w:ascii="宋体" w:hAnsi="宋体" w:eastAsia="宋体" w:cs="宋体"/>
          <w:color w:val="auto"/>
          <w:sz w:val="24"/>
          <w:szCs w:val="24"/>
          <w:highlight w:val="none"/>
        </w:rPr>
        <w:sectPr>
          <w:headerReference r:id="rId3" w:type="default"/>
          <w:footerReference r:id="rId4" w:type="default"/>
          <w:pgSz w:w="11906" w:h="16839"/>
          <w:pgMar w:top="1431" w:right="1079" w:bottom="0" w:left="1092" w:header="0" w:footer="0" w:gutter="0"/>
          <w:cols w:space="720" w:num="1"/>
        </w:sectPr>
      </w:pPr>
    </w:p>
    <w:p>
      <w:pPr>
        <w:spacing w:before="140"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法定代表人身份证复印件</w:t>
      </w:r>
    </w:p>
    <w:p>
      <w:pPr>
        <w:spacing w:line="82" w:lineRule="exact"/>
        <w:rPr>
          <w:color w:val="auto"/>
          <w:highlight w:val="none"/>
        </w:rPr>
      </w:pPr>
    </w:p>
    <w:tbl>
      <w:tblPr>
        <w:tblStyle w:val="110"/>
        <w:tblW w:w="7582" w:type="dxa"/>
        <w:tblInd w:w="107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8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33" w:hRule="atLeast"/>
        </w:trPr>
        <w:tc>
          <w:tcPr>
            <w:tcW w:w="7582" w:type="dxa"/>
            <w:vAlign w:val="top"/>
          </w:tcPr>
          <w:p>
            <w:pPr>
              <w:spacing w:line="304" w:lineRule="auto"/>
              <w:rPr>
                <w:rFonts w:ascii="Arial"/>
                <w:color w:val="auto"/>
                <w:sz w:val="21"/>
                <w:highlight w:val="none"/>
              </w:rPr>
            </w:pPr>
          </w:p>
          <w:p>
            <w:pPr>
              <w:pStyle w:val="118"/>
              <w:spacing w:before="78" w:line="219" w:lineRule="auto"/>
              <w:ind w:left="118"/>
              <w:rPr>
                <w:color w:val="auto"/>
                <w:highlight w:val="none"/>
              </w:rPr>
            </w:pPr>
            <w:r>
              <w:rPr>
                <w:color w:val="auto"/>
                <w:spacing w:val="-1"/>
                <w:highlight w:val="none"/>
                <w14:textOutline w14:w="4358" w14:cap="sq" w14:cmpd="sng">
                  <w14:solidFill>
                    <w14:srgbClr w14:val="000000"/>
                  </w14:solidFill>
                  <w14:prstDash w14:val="solid"/>
                  <w14:bevel/>
                </w14:textOutline>
              </w:rPr>
              <w:t>此处贴法人代表身份证正面</w:t>
            </w:r>
          </w:p>
        </w:tc>
      </w:tr>
    </w:tbl>
    <w:p>
      <w:pPr>
        <w:spacing w:before="90"/>
        <w:rPr>
          <w:color w:val="auto"/>
          <w:highlight w:val="none"/>
        </w:rPr>
      </w:pPr>
    </w:p>
    <w:tbl>
      <w:tblPr>
        <w:tblStyle w:val="110"/>
        <w:tblW w:w="7582" w:type="dxa"/>
        <w:tblInd w:w="107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58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34" w:hRule="atLeast"/>
        </w:trPr>
        <w:tc>
          <w:tcPr>
            <w:tcW w:w="7582" w:type="dxa"/>
            <w:vAlign w:val="top"/>
          </w:tcPr>
          <w:p>
            <w:pPr>
              <w:spacing w:line="303" w:lineRule="auto"/>
              <w:rPr>
                <w:rFonts w:ascii="Arial"/>
                <w:color w:val="auto"/>
                <w:sz w:val="21"/>
                <w:highlight w:val="none"/>
              </w:rPr>
            </w:pPr>
          </w:p>
          <w:p>
            <w:pPr>
              <w:pStyle w:val="118"/>
              <w:spacing w:before="78" w:line="219" w:lineRule="auto"/>
              <w:ind w:left="118"/>
              <w:rPr>
                <w:color w:val="auto"/>
                <w:highlight w:val="none"/>
              </w:rPr>
            </w:pPr>
            <w:r>
              <w:rPr>
                <w:color w:val="auto"/>
                <w:spacing w:val="-1"/>
                <w:highlight w:val="none"/>
                <w14:textOutline w14:w="4358" w14:cap="sq" w14:cmpd="sng">
                  <w14:solidFill>
                    <w14:srgbClr w14:val="000000"/>
                  </w14:solidFill>
                  <w14:prstDash w14:val="solid"/>
                  <w14:bevel/>
                </w14:textOutline>
              </w:rPr>
              <w:t>此处贴法人代表身份证背面</w:t>
            </w:r>
          </w:p>
        </w:tc>
      </w:tr>
    </w:tbl>
    <w:p>
      <w:pPr>
        <w:pStyle w:val="3"/>
        <w:spacing w:line="381" w:lineRule="auto"/>
        <w:rPr>
          <w:color w:val="auto"/>
          <w:highlight w:val="none"/>
        </w:rPr>
      </w:pPr>
    </w:p>
    <w:p>
      <w:pPr>
        <w:spacing w:before="78" w:line="219" w:lineRule="auto"/>
        <w:ind w:left="53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法定代表人手机号码</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w:t>
      </w:r>
    </w:p>
    <w:p>
      <w:pPr>
        <w:spacing w:before="213" w:line="219" w:lineRule="auto"/>
        <w:ind w:left="537"/>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法定代表人办公电话：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w:t>
      </w:r>
    </w:p>
    <w:p>
      <w:pPr>
        <w:spacing w:line="219" w:lineRule="auto"/>
        <w:rPr>
          <w:rFonts w:ascii="宋体" w:hAnsi="宋体" w:eastAsia="宋体" w:cs="宋体"/>
          <w:color w:val="auto"/>
          <w:sz w:val="24"/>
          <w:szCs w:val="24"/>
          <w:highlight w:val="none"/>
        </w:rPr>
        <w:sectPr>
          <w:pgSz w:w="11906" w:h="16839"/>
          <w:pgMar w:top="1431" w:right="1785" w:bottom="0" w:left="1090" w:header="0" w:footer="0" w:gutter="0"/>
          <w:cols w:space="720" w:num="1"/>
        </w:sectPr>
      </w:pPr>
    </w:p>
    <w:p>
      <w:pPr>
        <w:spacing w:before="140"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代理人（被授权人）身份证复印件</w:t>
      </w:r>
    </w:p>
    <w:p>
      <w:pPr>
        <w:spacing w:line="82" w:lineRule="exact"/>
        <w:rPr>
          <w:color w:val="auto"/>
          <w:highlight w:val="none"/>
        </w:rPr>
      </w:pPr>
    </w:p>
    <w:tbl>
      <w:tblPr>
        <w:tblStyle w:val="110"/>
        <w:tblW w:w="7942" w:type="dxa"/>
        <w:tblInd w:w="8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954" w:hRule="atLeast"/>
        </w:trPr>
        <w:tc>
          <w:tcPr>
            <w:tcW w:w="7942" w:type="dxa"/>
            <w:vAlign w:val="top"/>
          </w:tcPr>
          <w:p>
            <w:pPr>
              <w:spacing w:line="304" w:lineRule="auto"/>
              <w:rPr>
                <w:rFonts w:ascii="Arial"/>
                <w:color w:val="auto"/>
                <w:sz w:val="21"/>
                <w:highlight w:val="none"/>
              </w:rPr>
            </w:pPr>
          </w:p>
          <w:p>
            <w:pPr>
              <w:pStyle w:val="118"/>
              <w:spacing w:before="78" w:line="219" w:lineRule="auto"/>
              <w:ind w:left="118"/>
              <w:rPr>
                <w:color w:val="auto"/>
                <w:highlight w:val="none"/>
              </w:rPr>
            </w:pPr>
            <w:r>
              <w:rPr>
                <w:color w:val="auto"/>
                <w:highlight w:val="none"/>
                <w14:textOutline w14:w="4358" w14:cap="sq" w14:cmpd="sng">
                  <w14:solidFill>
                    <w14:srgbClr w14:val="000000"/>
                  </w14:solidFill>
                  <w14:prstDash w14:val="solid"/>
                  <w14:bevel/>
                </w14:textOutline>
              </w:rPr>
              <w:t>此处贴代理人（被授权人）身份证正面</w:t>
            </w:r>
          </w:p>
        </w:tc>
      </w:tr>
    </w:tbl>
    <w:p>
      <w:pPr>
        <w:spacing w:before="90"/>
        <w:rPr>
          <w:color w:val="auto"/>
          <w:highlight w:val="none"/>
        </w:rPr>
      </w:pPr>
    </w:p>
    <w:tbl>
      <w:tblPr>
        <w:tblStyle w:val="110"/>
        <w:tblW w:w="7942" w:type="dxa"/>
        <w:tblInd w:w="89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169" w:hRule="atLeast"/>
        </w:trPr>
        <w:tc>
          <w:tcPr>
            <w:tcW w:w="7942" w:type="dxa"/>
            <w:vAlign w:val="top"/>
          </w:tcPr>
          <w:p>
            <w:pPr>
              <w:spacing w:line="304" w:lineRule="auto"/>
              <w:rPr>
                <w:rFonts w:ascii="Arial"/>
                <w:color w:val="auto"/>
                <w:sz w:val="21"/>
                <w:highlight w:val="none"/>
              </w:rPr>
            </w:pPr>
          </w:p>
          <w:p>
            <w:pPr>
              <w:pStyle w:val="118"/>
              <w:spacing w:before="78" w:line="219" w:lineRule="auto"/>
              <w:ind w:left="118"/>
              <w:rPr>
                <w:color w:val="auto"/>
                <w:highlight w:val="none"/>
              </w:rPr>
            </w:pPr>
            <w:r>
              <w:rPr>
                <w:color w:val="auto"/>
                <w:highlight w:val="none"/>
                <w14:textOutline w14:w="4358" w14:cap="sq" w14:cmpd="sng">
                  <w14:solidFill>
                    <w14:srgbClr w14:val="000000"/>
                  </w14:solidFill>
                  <w14:prstDash w14:val="solid"/>
                  <w14:bevel/>
                </w14:textOutline>
              </w:rPr>
              <w:t>此处贴代理人（被授权人）身份证背面</w:t>
            </w:r>
          </w:p>
        </w:tc>
      </w:tr>
    </w:tbl>
    <w:p>
      <w:pPr>
        <w:pStyle w:val="3"/>
        <w:spacing w:line="381" w:lineRule="auto"/>
        <w:rPr>
          <w:color w:val="auto"/>
          <w:highlight w:val="none"/>
        </w:rPr>
      </w:pPr>
    </w:p>
    <w:p>
      <w:pPr>
        <w:spacing w:before="78" w:line="384"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代理人（被授权人）手机号码</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pPr>
        <w:spacing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代理人（被授权人）办公电话：</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w:t>
      </w:r>
    </w:p>
    <w:p>
      <w:pPr>
        <w:pStyle w:val="3"/>
        <w:spacing w:line="462" w:lineRule="auto"/>
        <w:rPr>
          <w:color w:val="auto"/>
          <w:highlight w:val="none"/>
        </w:rPr>
      </w:pPr>
    </w:p>
    <w:p>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特殊说明：</w:t>
      </w:r>
    </w:p>
    <w:p>
      <w:pPr>
        <w:spacing w:before="214" w:line="219" w:lineRule="auto"/>
        <w:ind w:left="1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1、上述身份证复印件必须清晰；</w:t>
      </w:r>
    </w:p>
    <w:p>
      <w:pPr>
        <w:spacing w:before="212" w:line="219"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2、法定代表人参加投标的无需提供磋商授权书，仅提供法定代表人身份证明及联系方式即可。</w:t>
      </w:r>
    </w:p>
    <w:p>
      <w:pPr>
        <w:spacing w:line="219" w:lineRule="auto"/>
        <w:rPr>
          <w:rFonts w:ascii="宋体" w:hAnsi="宋体" w:eastAsia="宋体" w:cs="宋体"/>
          <w:color w:val="auto"/>
          <w:sz w:val="24"/>
          <w:szCs w:val="24"/>
          <w:highlight w:val="none"/>
        </w:rPr>
        <w:sectPr>
          <w:pgSz w:w="11906" w:h="16839"/>
          <w:pgMar w:top="1431" w:right="1001" w:bottom="0" w:left="1088" w:header="0" w:footer="0" w:gutter="0"/>
          <w:cols w:space="720" w:num="1"/>
        </w:sectPr>
      </w:pPr>
    </w:p>
    <w:p>
      <w:pPr>
        <w:spacing w:before="200" w:line="220" w:lineRule="auto"/>
        <w:ind w:left="3614"/>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法定代表人身份证明</w:t>
      </w:r>
    </w:p>
    <w:p>
      <w:pPr>
        <w:pStyle w:val="3"/>
        <w:spacing w:line="295" w:lineRule="auto"/>
        <w:rPr>
          <w:color w:val="auto"/>
          <w:highlight w:val="none"/>
        </w:rPr>
      </w:pPr>
    </w:p>
    <w:p>
      <w:pPr>
        <w:spacing w:before="78" w:line="219"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名称：</w:t>
      </w:r>
      <w:r>
        <w:rPr>
          <w:rFonts w:ascii="宋体" w:hAnsi="宋体" w:eastAsia="宋体" w:cs="宋体"/>
          <w:color w:val="auto"/>
          <w:sz w:val="24"/>
          <w:szCs w:val="24"/>
          <w:highlight w:val="none"/>
          <w:u w:val="single" w:color="auto"/>
        </w:rPr>
        <w:t xml:space="preserve">                   </w:t>
      </w:r>
    </w:p>
    <w:p>
      <w:pPr>
        <w:spacing w:before="214"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单位性质：</w:t>
      </w:r>
      <w:r>
        <w:rPr>
          <w:rFonts w:ascii="宋体" w:hAnsi="宋体" w:eastAsia="宋体" w:cs="宋体"/>
          <w:color w:val="auto"/>
          <w:sz w:val="24"/>
          <w:szCs w:val="24"/>
          <w:highlight w:val="none"/>
          <w:u w:val="single" w:color="auto"/>
        </w:rPr>
        <w:t xml:space="preserve">                   </w:t>
      </w:r>
    </w:p>
    <w:p>
      <w:pPr>
        <w:spacing w:before="210" w:line="229" w:lineRule="auto"/>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地</w:t>
      </w:r>
      <w:r>
        <w:rPr>
          <w:rFonts w:ascii="宋体" w:hAnsi="宋体" w:eastAsia="宋体" w:cs="宋体"/>
          <w:color w:val="auto"/>
          <w:spacing w:val="2"/>
          <w:sz w:val="24"/>
          <w:szCs w:val="24"/>
          <w:highlight w:val="none"/>
        </w:rPr>
        <w:t xml:space="preserve">    </w:t>
      </w:r>
      <w:r>
        <w:rPr>
          <w:rFonts w:ascii="宋体" w:hAnsi="宋体" w:eastAsia="宋体" w:cs="宋体"/>
          <w:color w:val="auto"/>
          <w:spacing w:val="-7"/>
          <w:sz w:val="24"/>
          <w:szCs w:val="24"/>
          <w:highlight w:val="none"/>
        </w:rPr>
        <w:t>址：</w:t>
      </w:r>
      <w:r>
        <w:rPr>
          <w:rFonts w:ascii="宋体" w:hAnsi="宋体" w:eastAsia="宋体" w:cs="宋体"/>
          <w:color w:val="auto"/>
          <w:sz w:val="24"/>
          <w:szCs w:val="24"/>
          <w:highlight w:val="none"/>
          <w:u w:val="single" w:color="auto"/>
        </w:rPr>
        <w:t xml:space="preserve">                   </w:t>
      </w:r>
    </w:p>
    <w:p>
      <w:pPr>
        <w:spacing w:before="202" w:line="219"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成立时间：</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26"/>
          <w:sz w:val="24"/>
          <w:szCs w:val="24"/>
          <w:highlight w:val="none"/>
        </w:rPr>
        <w:t xml:space="preserve"> </w:t>
      </w:r>
      <w:r>
        <w:rPr>
          <w:rFonts w:ascii="宋体" w:hAnsi="宋体" w:eastAsia="宋体" w:cs="宋体"/>
          <w:color w:val="auto"/>
          <w:spacing w:val="-3"/>
          <w:sz w:val="24"/>
          <w:szCs w:val="24"/>
          <w:highlight w:val="none"/>
        </w:rPr>
        <w:t>年</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3"/>
          <w:sz w:val="24"/>
          <w:szCs w:val="24"/>
          <w:highlight w:val="none"/>
        </w:rPr>
        <w:t>日</w:t>
      </w:r>
    </w:p>
    <w:p>
      <w:pPr>
        <w:spacing w:before="211" w:line="220" w:lineRule="auto"/>
        <w:ind w:lef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经营期限：</w:t>
      </w:r>
      <w:r>
        <w:rPr>
          <w:rFonts w:ascii="宋体" w:hAnsi="宋体" w:eastAsia="宋体" w:cs="宋体"/>
          <w:color w:val="auto"/>
          <w:sz w:val="24"/>
          <w:szCs w:val="24"/>
          <w:highlight w:val="none"/>
          <w:u w:val="single" w:color="auto"/>
        </w:rPr>
        <w:t xml:space="preserve">                   </w:t>
      </w:r>
    </w:p>
    <w:p>
      <w:pPr>
        <w:spacing w:before="213" w:line="382" w:lineRule="auto"/>
        <w:jc w:val="right"/>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姓名：</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8"/>
          <w:sz w:val="24"/>
          <w:szCs w:val="24"/>
          <w:highlight w:val="none"/>
        </w:rPr>
        <w:t>性别：</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8"/>
          <w:sz w:val="24"/>
          <w:szCs w:val="24"/>
          <w:highlight w:val="none"/>
        </w:rPr>
        <w:t>年龄：</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1"/>
          <w:sz w:val="24"/>
          <w:szCs w:val="24"/>
          <w:highlight w:val="none"/>
        </w:rPr>
        <w:t xml:space="preserve"> </w:t>
      </w:r>
      <w:r>
        <w:rPr>
          <w:rFonts w:ascii="宋体" w:hAnsi="宋体" w:eastAsia="宋体" w:cs="宋体"/>
          <w:color w:val="auto"/>
          <w:spacing w:val="-8"/>
          <w:sz w:val="24"/>
          <w:szCs w:val="24"/>
          <w:highlight w:val="none"/>
        </w:rPr>
        <w:t>职务：</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8"/>
          <w:sz w:val="24"/>
          <w:szCs w:val="24"/>
          <w:highlight w:val="none"/>
        </w:rPr>
        <w:t>系</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9"/>
          <w:sz w:val="24"/>
          <w:szCs w:val="24"/>
          <w:highlight w:val="none"/>
          <w:u w:val="single" w:color="auto"/>
        </w:rPr>
        <w:t xml:space="preserve"> </w:t>
      </w:r>
      <w:r>
        <w:rPr>
          <w:rFonts w:ascii="宋体" w:hAnsi="宋体" w:eastAsia="宋体" w:cs="宋体"/>
          <w:color w:val="auto"/>
          <w:spacing w:val="-9"/>
          <w:sz w:val="24"/>
          <w:szCs w:val="24"/>
          <w:highlight w:val="none"/>
        </w:rPr>
        <w:t>（承包商名称）的法定代表人。</w:t>
      </w:r>
    </w:p>
    <w:p>
      <w:pPr>
        <w:spacing w:before="1" w:line="218"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联系手机：</w:t>
      </w:r>
    </w:p>
    <w:p>
      <w:pPr>
        <w:spacing w:before="215" w:line="496" w:lineRule="exact"/>
        <w:ind w:left="20"/>
        <w:rPr>
          <w:rFonts w:ascii="宋体" w:hAnsi="宋体" w:eastAsia="宋体" w:cs="宋体"/>
          <w:color w:val="auto"/>
          <w:sz w:val="24"/>
          <w:szCs w:val="24"/>
          <w:highlight w:val="none"/>
        </w:rPr>
      </w:pPr>
      <w:r>
        <w:rPr>
          <w:rFonts w:ascii="宋体" w:hAnsi="宋体" w:eastAsia="宋体" w:cs="宋体"/>
          <w:color w:val="auto"/>
          <w:spacing w:val="-6"/>
          <w:position w:val="19"/>
          <w:sz w:val="24"/>
          <w:szCs w:val="24"/>
          <w:highlight w:val="none"/>
        </w:rPr>
        <w:t>固定电话：</w:t>
      </w:r>
    </w:p>
    <w:p>
      <w:pPr>
        <w:spacing w:before="1" w:line="219"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pPr>
        <w:spacing w:before="213" w:line="219" w:lineRule="auto"/>
        <w:ind w:left="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附：法定代表人身份证复印件。</w:t>
      </w:r>
    </w:p>
    <w:p>
      <w:pPr>
        <w:pStyle w:val="3"/>
        <w:spacing w:line="281" w:lineRule="auto"/>
        <w:rPr>
          <w:color w:val="auto"/>
          <w:highlight w:val="none"/>
        </w:rPr>
      </w:pPr>
    </w:p>
    <w:p>
      <w:pPr>
        <w:pStyle w:val="3"/>
        <w:spacing w:line="281" w:lineRule="auto"/>
        <w:rPr>
          <w:color w:val="auto"/>
          <w:highlight w:val="none"/>
        </w:rPr>
      </w:pPr>
    </w:p>
    <w:p>
      <w:pPr>
        <w:pStyle w:val="3"/>
        <w:spacing w:line="281" w:lineRule="auto"/>
        <w:rPr>
          <w:color w:val="auto"/>
          <w:highlight w:val="none"/>
        </w:rPr>
      </w:pPr>
    </w:p>
    <w:p>
      <w:pPr>
        <w:pStyle w:val="3"/>
        <w:spacing w:line="282" w:lineRule="auto"/>
        <w:rPr>
          <w:color w:val="auto"/>
          <w:highlight w:val="none"/>
        </w:rPr>
      </w:pPr>
    </w:p>
    <w:p>
      <w:pPr>
        <w:pStyle w:val="3"/>
        <w:spacing w:line="282" w:lineRule="auto"/>
        <w:rPr>
          <w:color w:val="auto"/>
          <w:highlight w:val="none"/>
        </w:rPr>
      </w:pPr>
    </w:p>
    <w:p>
      <w:pPr>
        <w:spacing w:before="79" w:line="219" w:lineRule="auto"/>
        <w:ind w:left="602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18"/>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8"/>
          <w:sz w:val="24"/>
          <w:szCs w:val="24"/>
          <w:highlight w:val="none"/>
        </w:rPr>
        <w:t>（</w:t>
      </w:r>
      <w:r>
        <w:rPr>
          <w:rFonts w:ascii="宋体" w:hAnsi="宋体" w:eastAsia="宋体" w:cs="宋体"/>
          <w:color w:val="auto"/>
          <w:spacing w:val="3"/>
          <w:sz w:val="24"/>
          <w:szCs w:val="24"/>
          <w:highlight w:val="none"/>
        </w:rPr>
        <w:t>盖单位章）</w:t>
      </w:r>
    </w:p>
    <w:p>
      <w:pPr>
        <w:pStyle w:val="3"/>
        <w:spacing w:line="315" w:lineRule="auto"/>
        <w:rPr>
          <w:color w:val="auto"/>
          <w:highlight w:val="none"/>
        </w:rPr>
      </w:pPr>
    </w:p>
    <w:p>
      <w:pPr>
        <w:pStyle w:val="3"/>
        <w:spacing w:line="315" w:lineRule="auto"/>
        <w:rPr>
          <w:color w:val="auto"/>
          <w:highlight w:val="none"/>
        </w:rPr>
      </w:pPr>
    </w:p>
    <w:p>
      <w:pPr>
        <w:spacing w:before="78" w:line="219" w:lineRule="auto"/>
        <w:ind w:left="6660"/>
        <w:outlineLvl w:val="1"/>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rPr>
        <w:t>日</w:t>
      </w:r>
    </w:p>
    <w:p>
      <w:pPr>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8"/>
        <w:spacing w:before="0" w:after="0"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w:t>
      </w:r>
      <w:bookmarkEnd w:id="92"/>
      <w:bookmarkEnd w:id="93"/>
      <w:bookmarkEnd w:id="94"/>
      <w:r>
        <w:rPr>
          <w:rFonts w:hint="eastAsia" w:ascii="宋体" w:hAnsi="宋体" w:eastAsia="宋体" w:cs="宋体"/>
          <w:color w:val="auto"/>
          <w:sz w:val="24"/>
          <w:szCs w:val="24"/>
          <w:highlight w:val="none"/>
          <w:lang w:eastAsia="zh-CN"/>
        </w:rPr>
        <w:t>四</w:t>
      </w:r>
    </w:p>
    <w:p>
      <w:pPr>
        <w:pStyle w:val="8"/>
        <w:spacing w:before="0" w:after="156" w:afterLines="50" w:line="560" w:lineRule="exact"/>
        <w:jc w:val="center"/>
        <w:rPr>
          <w:rFonts w:ascii="宋体" w:hAnsi="宋体" w:eastAsia="宋体" w:cs="宋体"/>
          <w:color w:val="auto"/>
          <w:sz w:val="24"/>
          <w:szCs w:val="24"/>
          <w:highlight w:val="none"/>
        </w:rPr>
      </w:pPr>
      <w:bookmarkStart w:id="95" w:name="_Toc6278"/>
      <w:bookmarkStart w:id="96" w:name="_Toc29263"/>
      <w:bookmarkStart w:id="97" w:name="_Toc28665"/>
      <w:bookmarkStart w:id="98" w:name="_Toc417045478"/>
      <w:r>
        <w:rPr>
          <w:rFonts w:hint="eastAsia" w:ascii="宋体" w:hAnsi="宋体" w:eastAsia="宋体" w:cs="宋体"/>
          <w:color w:val="auto"/>
          <w:sz w:val="24"/>
          <w:szCs w:val="24"/>
          <w:highlight w:val="none"/>
        </w:rPr>
        <w:t>磋商响应函</w:t>
      </w:r>
      <w:bookmarkEnd w:id="95"/>
      <w:bookmarkEnd w:id="96"/>
      <w:bookmarkEnd w:id="97"/>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致：XXX（代理机构名称）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号磋商公告的内容，我方决定参加贵方组织的“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”项目的竞争性磋商采购。我方授权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(姓名)代表我方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（磋商单位的名称）全权处理本项目磋商的有关事宜。</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2、我方愿意按照磋商文件规定的各项要求，向采购人提供所需的服务。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3、一旦我方成交，我方将严格履行合同规定的责任和义务，保证于采购人要求的日期内完成项目的全部内容，并交付采购人验收、使用。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4、如我公司成交，我公司承诺愿意按磋商文件规定缴纳履约保证金。</w:t>
      </w:r>
    </w:p>
    <w:p>
      <w:pPr>
        <w:tabs>
          <w:tab w:val="left" w:pos="84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5、我方愿意提供贵方可能另外要求的、与磋商有关的文件资料，并保证我方已提供和将要提供的文件是真实的、准确的。</w:t>
      </w:r>
    </w:p>
    <w:p>
      <w:pPr>
        <w:tabs>
          <w:tab w:val="left" w:pos="0"/>
          <w:tab w:val="left" w:pos="84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6、我方完全理解贵方不一定将合同授予最低报价的供应商。</w:t>
      </w:r>
    </w:p>
    <w:p>
      <w:pPr>
        <w:tabs>
          <w:tab w:val="left" w:pos="0"/>
          <w:tab w:val="left" w:pos="840"/>
        </w:tabs>
        <w:spacing w:line="360" w:lineRule="auto"/>
        <w:jc w:val="left"/>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tabs>
          <w:tab w:val="left" w:pos="0"/>
          <w:tab w:val="left" w:pos="840"/>
        </w:tabs>
        <w:rPr>
          <w:rFonts w:ascii="宋体" w:hAnsi="宋体" w:cs="宋体"/>
          <w:color w:val="auto"/>
          <w:sz w:val="24"/>
          <w:szCs w:val="24"/>
          <w:highlight w:val="none"/>
        </w:rPr>
      </w:pPr>
    </w:p>
    <w:p>
      <w:pPr>
        <w:spacing w:line="360" w:lineRule="auto"/>
        <w:ind w:firstLine="4245" w:firstLineChars="1762"/>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供应商</w:t>
      </w:r>
      <w:r>
        <w:rPr>
          <w:rFonts w:hint="eastAsia" w:ascii="宋体" w:hAnsi="宋体" w:cs="宋体"/>
          <w:b/>
          <w:bCs/>
          <w:color w:val="auto"/>
          <w:sz w:val="24"/>
          <w:szCs w:val="24"/>
          <w:highlight w:val="none"/>
          <w:lang w:eastAsia="zh-CN"/>
        </w:rPr>
        <w:t>加盖公章</w:t>
      </w:r>
      <w:r>
        <w:rPr>
          <w:rFonts w:hint="eastAsia" w:ascii="宋体" w:hAnsi="宋体" w:cs="宋体"/>
          <w:b/>
          <w:bCs/>
          <w:color w:val="auto"/>
          <w:sz w:val="24"/>
          <w:szCs w:val="24"/>
          <w:highlight w:val="none"/>
        </w:rPr>
        <w:t>：</w:t>
      </w:r>
    </w:p>
    <w:p>
      <w:pPr>
        <w:tabs>
          <w:tab w:val="left" w:pos="630"/>
        </w:tabs>
        <w:spacing w:line="360" w:lineRule="auto"/>
        <w:ind w:firstLine="4245" w:firstLineChars="1762"/>
        <w:rPr>
          <w:rFonts w:ascii="宋体" w:hAnsi="宋体" w:cs="宋体"/>
          <w:b/>
          <w:bCs/>
          <w:color w:val="auto"/>
          <w:sz w:val="24"/>
          <w:szCs w:val="24"/>
          <w:highlight w:val="none"/>
        </w:rPr>
      </w:pPr>
      <w:r>
        <w:rPr>
          <w:rFonts w:hint="eastAsia" w:ascii="宋体" w:hAnsi="宋体" w:cs="宋体"/>
          <w:b/>
          <w:bCs/>
          <w:color w:val="auto"/>
          <w:sz w:val="24"/>
          <w:szCs w:val="24"/>
          <w:highlight w:val="none"/>
        </w:rPr>
        <w:t>日期：</w:t>
      </w:r>
    </w:p>
    <w:p>
      <w:pPr>
        <w:pStyle w:val="8"/>
        <w:spacing w:before="0" w:after="0"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br w:type="page"/>
      </w:r>
      <w:bookmarkStart w:id="99" w:name="_Toc30354"/>
      <w:bookmarkStart w:id="100" w:name="_Toc16627"/>
      <w:bookmarkStart w:id="101" w:name="_Toc21593"/>
      <w:r>
        <w:rPr>
          <w:rFonts w:hint="eastAsia" w:ascii="宋体" w:hAnsi="宋体" w:eastAsia="宋体" w:cs="宋体"/>
          <w:color w:val="auto"/>
          <w:sz w:val="24"/>
          <w:szCs w:val="24"/>
          <w:highlight w:val="none"/>
        </w:rPr>
        <w:t>附件</w:t>
      </w:r>
      <w:bookmarkEnd w:id="98"/>
      <w:bookmarkEnd w:id="99"/>
      <w:bookmarkEnd w:id="100"/>
      <w:bookmarkEnd w:id="101"/>
      <w:r>
        <w:rPr>
          <w:rFonts w:hint="eastAsia" w:ascii="宋体" w:hAnsi="宋体" w:eastAsia="宋体" w:cs="宋体"/>
          <w:color w:val="auto"/>
          <w:sz w:val="24"/>
          <w:szCs w:val="24"/>
          <w:highlight w:val="none"/>
          <w:lang w:eastAsia="zh-CN"/>
        </w:rPr>
        <w:t>五</w:t>
      </w:r>
    </w:p>
    <w:p>
      <w:pPr>
        <w:pStyle w:val="2"/>
        <w:ind w:firstLine="281"/>
        <w:rPr>
          <w:b/>
          <w:color w:val="auto"/>
          <w:sz w:val="28"/>
          <w:szCs w:val="28"/>
          <w:highlight w:val="none"/>
        </w:rPr>
      </w:pPr>
      <w:bookmarkStart w:id="102" w:name="_Toc10256"/>
      <w:bookmarkStart w:id="103" w:name="_Toc26881"/>
      <w:bookmarkStart w:id="104" w:name="_Toc26949"/>
    </w:p>
    <w:p>
      <w:pPr>
        <w:pStyle w:val="2"/>
        <w:ind w:firstLine="2891" w:firstLineChars="1200"/>
        <w:rPr>
          <w:rFonts w:ascii="宋体" w:hAnsi="宋体" w:cs="宋体"/>
          <w:b/>
          <w:color w:val="auto"/>
          <w:szCs w:val="24"/>
          <w:highlight w:val="none"/>
          <w:lang w:val="zh-CN"/>
        </w:rPr>
      </w:pPr>
      <w:bookmarkStart w:id="105" w:name="_Hlk77793942"/>
      <w:r>
        <w:rPr>
          <w:rFonts w:hint="eastAsia" w:ascii="宋体" w:hAnsi="宋体" w:cs="宋体"/>
          <w:b/>
          <w:color w:val="auto"/>
          <w:szCs w:val="24"/>
          <w:highlight w:val="none"/>
          <w:lang w:val="zh-CN"/>
        </w:rPr>
        <w:t>无重大违法记录声明函</w:t>
      </w:r>
    </w:p>
    <w:p>
      <w:pPr>
        <w:pStyle w:val="2"/>
        <w:ind w:firstLine="480" w:firstLineChars="200"/>
        <w:rPr>
          <w:rFonts w:ascii="宋体" w:hAnsi="宋体"/>
          <w:color w:val="auto"/>
          <w:szCs w:val="24"/>
          <w:highlight w:val="none"/>
        </w:rPr>
      </w:pPr>
      <w:bookmarkStart w:id="106" w:name="_Hlk77793969"/>
      <w:r>
        <w:rPr>
          <w:rFonts w:hint="eastAsia" w:ascii="宋体" w:hAnsi="宋体"/>
          <w:color w:val="auto"/>
          <w:szCs w:val="24"/>
          <w:highlight w:val="none"/>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本公司对上述声明的真实性负责。如有虚假，将依法承担相应责任。</w:t>
      </w:r>
    </w:p>
    <w:p>
      <w:pPr>
        <w:spacing w:line="360" w:lineRule="auto"/>
        <w:ind w:firstLine="435"/>
        <w:rPr>
          <w:rFonts w:ascii="宋体" w:hAnsi="宋体"/>
          <w:color w:val="auto"/>
          <w:sz w:val="24"/>
          <w:szCs w:val="24"/>
          <w:highlight w:val="none"/>
        </w:rPr>
      </w:pPr>
    </w:p>
    <w:p>
      <w:pPr>
        <w:spacing w:line="360" w:lineRule="auto"/>
        <w:ind w:firstLine="5428" w:firstLineChars="2262"/>
        <w:rPr>
          <w:rFonts w:ascii="宋体" w:hAnsi="宋体"/>
          <w:bCs/>
          <w:color w:val="auto"/>
          <w:sz w:val="24"/>
          <w:szCs w:val="24"/>
          <w:highlight w:val="none"/>
          <w:u w:val="single"/>
        </w:rPr>
      </w:pPr>
      <w:r>
        <w:rPr>
          <w:rFonts w:hint="eastAsia" w:ascii="宋体" w:hAnsi="宋体"/>
          <w:bCs/>
          <w:color w:val="auto"/>
          <w:sz w:val="24"/>
          <w:szCs w:val="24"/>
          <w:highlight w:val="none"/>
        </w:rPr>
        <w:t>供应商</w:t>
      </w:r>
      <w:r>
        <w:rPr>
          <w:rFonts w:hint="eastAsia" w:ascii="宋体" w:hAnsi="宋体"/>
          <w:bCs/>
          <w:color w:val="auto"/>
          <w:sz w:val="24"/>
          <w:szCs w:val="24"/>
          <w:highlight w:val="none"/>
          <w:lang w:eastAsia="zh-CN"/>
        </w:rPr>
        <w:t>加盖公章</w:t>
      </w:r>
      <w:r>
        <w:rPr>
          <w:rFonts w:hint="eastAsia" w:ascii="宋体" w:hAnsi="宋体"/>
          <w:bCs/>
          <w:color w:val="auto"/>
          <w:sz w:val="24"/>
          <w:szCs w:val="24"/>
          <w:highlight w:val="none"/>
        </w:rPr>
        <w:t>：</w:t>
      </w:r>
    </w:p>
    <w:p>
      <w:pPr>
        <w:tabs>
          <w:tab w:val="left" w:pos="630"/>
        </w:tabs>
        <w:spacing w:line="360" w:lineRule="auto"/>
        <w:ind w:firstLine="5428" w:firstLineChars="2262"/>
        <w:rPr>
          <w:rFonts w:ascii="宋体" w:hAnsi="宋体"/>
          <w:bCs/>
          <w:color w:val="auto"/>
          <w:sz w:val="24"/>
          <w:szCs w:val="24"/>
          <w:highlight w:val="none"/>
          <w:lang w:val="zh-CN"/>
        </w:rPr>
      </w:pPr>
      <w:r>
        <w:rPr>
          <w:rFonts w:hint="eastAsia" w:ascii="宋体" w:hAnsi="宋体"/>
          <w:bCs/>
          <w:color w:val="auto"/>
          <w:sz w:val="24"/>
          <w:szCs w:val="24"/>
          <w:highlight w:val="none"/>
        </w:rPr>
        <w:t>日期：</w:t>
      </w:r>
    </w:p>
    <w:bookmarkEnd w:id="106"/>
    <w:p>
      <w:pPr>
        <w:pStyle w:val="2"/>
        <w:ind w:firstLine="210"/>
        <w:rPr>
          <w:color w:val="auto"/>
          <w:highlight w:val="none"/>
        </w:rPr>
      </w:pPr>
    </w:p>
    <w:p>
      <w:pPr>
        <w:pStyle w:val="2"/>
        <w:ind w:firstLine="210"/>
        <w:rPr>
          <w:color w:val="auto"/>
          <w:highlight w:val="none"/>
        </w:rPr>
      </w:pPr>
    </w:p>
    <w:p>
      <w:pPr>
        <w:tabs>
          <w:tab w:val="left" w:pos="630"/>
        </w:tabs>
        <w:spacing w:after="156" w:afterLines="50" w:line="360" w:lineRule="auto"/>
        <w:ind w:firstLine="3188" w:firstLineChars="1323"/>
        <w:rPr>
          <w:rFonts w:ascii="宋体" w:hAnsi="宋体"/>
          <w:color w:val="auto"/>
          <w:sz w:val="24"/>
          <w:szCs w:val="24"/>
          <w:highlight w:val="none"/>
        </w:rPr>
      </w:pPr>
      <w:r>
        <w:rPr>
          <w:rFonts w:hint="eastAsia" w:ascii="宋体" w:hAnsi="宋体"/>
          <w:b/>
          <w:color w:val="auto"/>
          <w:sz w:val="24"/>
          <w:szCs w:val="24"/>
          <w:highlight w:val="none"/>
          <w:lang w:val="zh-CN"/>
        </w:rPr>
        <w:t>无不良信用记录承诺函</w:t>
      </w:r>
    </w:p>
    <w:p>
      <w:pPr>
        <w:spacing w:line="360" w:lineRule="auto"/>
        <w:ind w:firstLine="435"/>
        <w:rPr>
          <w:rFonts w:ascii="宋体" w:hAnsi="宋体"/>
          <w:color w:val="auto"/>
          <w:sz w:val="24"/>
          <w:szCs w:val="24"/>
          <w:highlight w:val="none"/>
        </w:rPr>
      </w:pPr>
      <w:bookmarkStart w:id="107" w:name="_Hlk77794010"/>
      <w:r>
        <w:rPr>
          <w:rFonts w:hint="eastAsia" w:ascii="宋体" w:hAnsi="宋体"/>
          <w:color w:val="auto"/>
          <w:sz w:val="24"/>
          <w:szCs w:val="24"/>
          <w:highlight w:val="none"/>
        </w:rPr>
        <w:t>本公司郑重承诺，我公司无以下不良信用记录情形：</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1、公司被人民法院列入失信被执行人；</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2、公司被市场监督管理部门列入</w:t>
      </w:r>
      <w:r>
        <w:rPr>
          <w:rFonts w:hint="eastAsia" w:ascii="宋体" w:hAnsi="宋体"/>
          <w:color w:val="auto"/>
          <w:sz w:val="24"/>
          <w:szCs w:val="24"/>
          <w:highlight w:val="none"/>
          <w:lang w:eastAsia="zh-CN"/>
        </w:rPr>
        <w:t>严重违法失信企业</w:t>
      </w:r>
      <w:r>
        <w:rPr>
          <w:rFonts w:hint="eastAsia" w:ascii="宋体" w:hAnsi="宋体"/>
          <w:color w:val="auto"/>
          <w:sz w:val="24"/>
          <w:szCs w:val="24"/>
          <w:highlight w:val="none"/>
        </w:rPr>
        <w:t>名录；</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3、公司被税务部门列入重大税收违法案件当事人名单的；</w:t>
      </w:r>
    </w:p>
    <w:p>
      <w:pPr>
        <w:spacing w:line="360" w:lineRule="auto"/>
        <w:ind w:firstLine="435"/>
        <w:rPr>
          <w:rFonts w:ascii="宋体" w:hAnsi="宋体"/>
          <w:color w:val="auto"/>
          <w:sz w:val="24"/>
          <w:szCs w:val="24"/>
          <w:highlight w:val="none"/>
        </w:rPr>
      </w:pPr>
      <w:r>
        <w:rPr>
          <w:rFonts w:hint="eastAsia" w:ascii="宋体" w:hAnsi="宋体"/>
          <w:color w:val="auto"/>
          <w:sz w:val="24"/>
          <w:szCs w:val="24"/>
          <w:highlight w:val="none"/>
        </w:rPr>
        <w:t>4、公司被政府采购监管部门列入政府采购严重违法失信行为记录名单。</w:t>
      </w:r>
    </w:p>
    <w:p>
      <w:pPr>
        <w:spacing w:line="360" w:lineRule="auto"/>
        <w:ind w:firstLine="435"/>
        <w:rPr>
          <w:rFonts w:ascii="宋体" w:hAnsi="宋体" w:cs="宋体"/>
          <w:color w:val="auto"/>
          <w:kern w:val="0"/>
          <w:sz w:val="32"/>
          <w:szCs w:val="32"/>
          <w:highlight w:val="none"/>
        </w:rPr>
      </w:pPr>
      <w:r>
        <w:rPr>
          <w:rFonts w:ascii="宋体" w:hAnsi="宋体"/>
          <w:color w:val="auto"/>
          <w:sz w:val="24"/>
          <w:szCs w:val="24"/>
          <w:highlight w:val="none"/>
        </w:rPr>
        <w:t>我公司承诺</w:t>
      </w:r>
      <w:r>
        <w:rPr>
          <w:rFonts w:hint="eastAsia" w:ascii="宋体" w:hAnsi="宋体"/>
          <w:color w:val="auto"/>
          <w:sz w:val="24"/>
          <w:szCs w:val="24"/>
          <w:highlight w:val="none"/>
        </w:rPr>
        <w:t>：</w:t>
      </w:r>
      <w:r>
        <w:rPr>
          <w:rFonts w:ascii="宋体" w:hAnsi="宋体"/>
          <w:color w:val="auto"/>
          <w:sz w:val="24"/>
          <w:szCs w:val="24"/>
          <w:highlight w:val="none"/>
        </w:rPr>
        <w:t>合同签订前，若我公司具有不良信用记录情形，贵方可取消我公司</w:t>
      </w:r>
      <w:r>
        <w:rPr>
          <w:rFonts w:hint="eastAsia" w:ascii="宋体" w:hAnsi="宋体"/>
          <w:color w:val="auto"/>
          <w:sz w:val="24"/>
          <w:szCs w:val="24"/>
          <w:highlight w:val="none"/>
        </w:rPr>
        <w:t>成交</w:t>
      </w:r>
      <w:r>
        <w:rPr>
          <w:rFonts w:ascii="宋体" w:hAnsi="宋体"/>
          <w:color w:val="auto"/>
          <w:sz w:val="24"/>
          <w:szCs w:val="24"/>
          <w:highlight w:val="none"/>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color w:val="auto"/>
          <w:sz w:val="24"/>
          <w:szCs w:val="24"/>
          <w:highlight w:val="none"/>
        </w:rPr>
      </w:pPr>
    </w:p>
    <w:p>
      <w:pPr>
        <w:spacing w:line="360" w:lineRule="auto"/>
        <w:ind w:firstLine="5428" w:firstLineChars="2262"/>
        <w:rPr>
          <w:rFonts w:ascii="宋体" w:hAnsi="宋体"/>
          <w:bCs/>
          <w:color w:val="auto"/>
          <w:sz w:val="24"/>
          <w:szCs w:val="24"/>
          <w:highlight w:val="none"/>
          <w:u w:val="single"/>
        </w:rPr>
      </w:pPr>
      <w:r>
        <w:rPr>
          <w:rFonts w:hint="eastAsia" w:ascii="宋体" w:hAnsi="宋体"/>
          <w:bCs/>
          <w:color w:val="auto"/>
          <w:sz w:val="24"/>
          <w:szCs w:val="24"/>
          <w:highlight w:val="none"/>
        </w:rPr>
        <w:t>供应商</w:t>
      </w:r>
      <w:r>
        <w:rPr>
          <w:rFonts w:hint="eastAsia" w:ascii="宋体" w:hAnsi="宋体"/>
          <w:bCs/>
          <w:color w:val="auto"/>
          <w:sz w:val="24"/>
          <w:szCs w:val="24"/>
          <w:highlight w:val="none"/>
          <w:lang w:eastAsia="zh-CN"/>
        </w:rPr>
        <w:t>加盖公章</w:t>
      </w:r>
      <w:r>
        <w:rPr>
          <w:rFonts w:hint="eastAsia" w:ascii="宋体" w:hAnsi="宋体"/>
          <w:bCs/>
          <w:color w:val="auto"/>
          <w:sz w:val="24"/>
          <w:szCs w:val="24"/>
          <w:highlight w:val="none"/>
        </w:rPr>
        <w:t>：</w:t>
      </w:r>
    </w:p>
    <w:p>
      <w:pPr>
        <w:tabs>
          <w:tab w:val="left" w:pos="630"/>
        </w:tabs>
        <w:spacing w:line="360" w:lineRule="auto"/>
        <w:ind w:firstLine="5428" w:firstLineChars="2262"/>
        <w:rPr>
          <w:rFonts w:hint="eastAsia" w:ascii="宋体" w:hAnsi="宋体" w:eastAsia="宋体"/>
          <w:b/>
          <w:bCs/>
          <w:color w:val="auto"/>
          <w:sz w:val="24"/>
          <w:szCs w:val="24"/>
          <w:highlight w:val="none"/>
          <w:u w:val="single"/>
          <w:lang w:eastAsia="zh-CN"/>
        </w:rPr>
      </w:pPr>
      <w:r>
        <w:rPr>
          <w:rFonts w:hint="eastAsia" w:ascii="宋体" w:hAnsi="宋体"/>
          <w:bCs/>
          <w:color w:val="auto"/>
          <w:sz w:val="24"/>
          <w:szCs w:val="24"/>
          <w:highlight w:val="none"/>
        </w:rPr>
        <w:t>日期：</w:t>
      </w:r>
      <w:bookmarkEnd w:id="102"/>
      <w:bookmarkEnd w:id="103"/>
      <w:bookmarkEnd w:id="104"/>
      <w:bookmarkEnd w:id="105"/>
      <w:bookmarkEnd w:id="107"/>
      <w:bookmarkStart w:id="108" w:name="_Toc363199274"/>
      <w:r>
        <w:rPr>
          <w:rFonts w:hint="eastAsia" w:ascii="宋体" w:hAnsi="宋体" w:cs="宋体"/>
          <w:color w:val="auto"/>
          <w:sz w:val="24"/>
          <w:szCs w:val="24"/>
          <w:highlight w:val="none"/>
        </w:rPr>
        <w:br w:type="page"/>
      </w:r>
      <w:bookmarkStart w:id="109" w:name="_Toc18709"/>
      <w:bookmarkStart w:id="110" w:name="_Toc17797"/>
      <w:bookmarkStart w:id="111" w:name="_Toc20743"/>
      <w:r>
        <w:rPr>
          <w:rFonts w:hint="eastAsia" w:ascii="宋体" w:hAnsi="宋体" w:cs="宋体"/>
          <w:b/>
          <w:bCs/>
          <w:color w:val="auto"/>
          <w:sz w:val="24"/>
          <w:szCs w:val="24"/>
          <w:highlight w:val="none"/>
        </w:rPr>
        <w:t>附件</w:t>
      </w:r>
      <w:bookmarkEnd w:id="108"/>
      <w:bookmarkEnd w:id="109"/>
      <w:bookmarkEnd w:id="110"/>
      <w:bookmarkEnd w:id="111"/>
      <w:r>
        <w:rPr>
          <w:rFonts w:hint="eastAsia" w:ascii="宋体" w:hAnsi="宋体" w:cs="宋体"/>
          <w:b/>
          <w:bCs/>
          <w:color w:val="auto"/>
          <w:sz w:val="24"/>
          <w:szCs w:val="24"/>
          <w:highlight w:val="none"/>
          <w:lang w:eastAsia="zh-CN"/>
        </w:rPr>
        <w:t>六</w:t>
      </w:r>
    </w:p>
    <w:p>
      <w:pPr>
        <w:pStyle w:val="8"/>
        <w:spacing w:before="0" w:after="0" w:line="560" w:lineRule="exact"/>
        <w:jc w:val="center"/>
        <w:rPr>
          <w:rFonts w:ascii="宋体" w:hAnsi="宋体" w:eastAsia="宋体" w:cs="宋体"/>
          <w:color w:val="auto"/>
          <w:sz w:val="24"/>
          <w:szCs w:val="24"/>
          <w:highlight w:val="none"/>
          <w:lang w:val="zh-CN"/>
        </w:rPr>
      </w:pPr>
      <w:bookmarkStart w:id="112" w:name="_Toc18402"/>
      <w:bookmarkStart w:id="113" w:name="_Toc30075"/>
      <w:bookmarkStart w:id="114" w:name="_Toc25238"/>
      <w:r>
        <w:rPr>
          <w:rFonts w:hint="eastAsia" w:ascii="宋体" w:hAnsi="宋体" w:eastAsia="宋体" w:cs="宋体"/>
          <w:color w:val="auto"/>
          <w:sz w:val="24"/>
          <w:szCs w:val="24"/>
          <w:highlight w:val="none"/>
          <w:lang w:val="zh-CN"/>
        </w:rPr>
        <w:t>响应情况表</w:t>
      </w:r>
      <w:bookmarkEnd w:id="112"/>
      <w:bookmarkEnd w:id="113"/>
      <w:bookmarkEnd w:id="114"/>
    </w:p>
    <w:p>
      <w:pPr>
        <w:jc w:val="center"/>
        <w:rPr>
          <w:rFonts w:ascii="宋体" w:hAnsi="宋体" w:cs="宋体"/>
          <w:bCs/>
          <w:color w:val="auto"/>
          <w:sz w:val="24"/>
          <w:szCs w:val="24"/>
          <w:highlight w:val="none"/>
          <w:lang w:val="zh-CN"/>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color w:val="auto"/>
                <w:sz w:val="24"/>
                <w:szCs w:val="21"/>
                <w:highlight w:val="none"/>
              </w:rPr>
            </w:pPr>
            <w:bookmarkStart w:id="115" w:name="_Toc471299110"/>
            <w:r>
              <w:rPr>
                <w:rFonts w:hint="eastAsia" w:ascii="宋体" w:hAnsi="宋体" w:cs="宋体"/>
                <w:b/>
                <w:color w:val="auto"/>
                <w:sz w:val="24"/>
                <w:szCs w:val="21"/>
                <w:highlight w:val="none"/>
              </w:rPr>
              <w:t>按磋商文件规定填写</w:t>
            </w:r>
          </w:p>
        </w:tc>
        <w:tc>
          <w:tcPr>
            <w:tcW w:w="4200" w:type="dxa"/>
            <w:gridSpan w:val="2"/>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序号</w:t>
            </w:r>
          </w:p>
        </w:tc>
        <w:tc>
          <w:tcPr>
            <w:tcW w:w="1794"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内容</w:t>
            </w:r>
          </w:p>
        </w:tc>
        <w:tc>
          <w:tcPr>
            <w:tcW w:w="2196"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磋商文件要求</w:t>
            </w:r>
          </w:p>
        </w:tc>
        <w:tc>
          <w:tcPr>
            <w:tcW w:w="2222"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响应承诺</w:t>
            </w:r>
          </w:p>
        </w:tc>
        <w:tc>
          <w:tcPr>
            <w:tcW w:w="1978" w:type="dxa"/>
            <w:vAlign w:val="center"/>
          </w:tcPr>
          <w:p>
            <w:pPr>
              <w:jc w:val="center"/>
              <w:rPr>
                <w:rFonts w:ascii="宋体" w:hAnsi="宋体" w:cs="宋体"/>
                <w:b/>
                <w:color w:val="auto"/>
                <w:sz w:val="24"/>
                <w:szCs w:val="21"/>
                <w:highlight w:val="none"/>
              </w:rPr>
            </w:pPr>
            <w:r>
              <w:rPr>
                <w:rFonts w:hint="eastAsia" w:ascii="宋体" w:hAnsi="宋体" w:cs="宋体"/>
                <w:b/>
                <w:color w:val="auto"/>
                <w:sz w:val="24"/>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8"/>
                <w:highlight w:val="none"/>
              </w:rPr>
              <w:t>技术响应</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8"/>
                <w:highlight w:val="none"/>
              </w:rPr>
              <w:t>付款响应</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8"/>
                <w:highlight w:val="none"/>
              </w:rPr>
              <w:t>服务期响应</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794" w:type="dxa"/>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2196" w:type="dxa"/>
            <w:vAlign w:val="center"/>
          </w:tcPr>
          <w:p>
            <w:pPr>
              <w:rPr>
                <w:rFonts w:ascii="宋体" w:hAnsi="宋体" w:cs="宋体"/>
                <w:color w:val="auto"/>
                <w:sz w:val="24"/>
                <w:szCs w:val="24"/>
                <w:highlight w:val="none"/>
              </w:rPr>
            </w:pPr>
          </w:p>
        </w:tc>
        <w:tc>
          <w:tcPr>
            <w:tcW w:w="2222" w:type="dxa"/>
            <w:vAlign w:val="center"/>
          </w:tcPr>
          <w:p>
            <w:pPr>
              <w:rPr>
                <w:rFonts w:ascii="宋体" w:hAnsi="宋体" w:cs="宋体"/>
                <w:color w:val="auto"/>
                <w:sz w:val="24"/>
                <w:szCs w:val="24"/>
                <w:highlight w:val="none"/>
              </w:rPr>
            </w:pPr>
          </w:p>
        </w:tc>
        <w:tc>
          <w:tcPr>
            <w:tcW w:w="1978" w:type="dxa"/>
            <w:vAlign w:val="center"/>
          </w:tcPr>
          <w:p>
            <w:pPr>
              <w:rPr>
                <w:rFonts w:ascii="宋体" w:hAnsi="宋体" w:cs="宋体"/>
                <w:color w:val="auto"/>
                <w:sz w:val="24"/>
                <w:szCs w:val="24"/>
                <w:highlight w:val="none"/>
              </w:rPr>
            </w:pPr>
          </w:p>
        </w:tc>
      </w:tr>
    </w:tbl>
    <w:p>
      <w:pPr>
        <w:snapToGrid w:val="0"/>
        <w:spacing w:line="360" w:lineRule="auto"/>
        <w:rPr>
          <w:rFonts w:ascii="宋体" w:hAnsi="宋体" w:cs="宋体"/>
          <w:color w:val="auto"/>
          <w:sz w:val="24"/>
          <w:szCs w:val="24"/>
          <w:highlight w:val="none"/>
        </w:rPr>
      </w:pPr>
    </w:p>
    <w:p>
      <w:pPr>
        <w:snapToGrid w:val="0"/>
        <w:spacing w:line="460" w:lineRule="exact"/>
        <w:rPr>
          <w:rFonts w:ascii="宋体" w:hAnsi="宋体" w:cs="宋体"/>
          <w:b/>
          <w:bCs/>
          <w:color w:val="auto"/>
          <w:sz w:val="24"/>
          <w:szCs w:val="24"/>
          <w:highlight w:val="none"/>
        </w:rPr>
      </w:pPr>
    </w:p>
    <w:p>
      <w:pPr>
        <w:snapToGrid w:val="0"/>
        <w:spacing w:line="46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供应商</w:t>
      </w:r>
      <w:r>
        <w:rPr>
          <w:rFonts w:hint="eastAsia" w:ascii="宋体" w:hAnsi="宋体" w:cs="宋体"/>
          <w:b/>
          <w:bCs/>
          <w:color w:val="auto"/>
          <w:sz w:val="24"/>
          <w:szCs w:val="24"/>
          <w:highlight w:val="none"/>
          <w:lang w:eastAsia="zh-CN"/>
        </w:rPr>
        <w:t>加盖公章</w:t>
      </w:r>
      <w:r>
        <w:rPr>
          <w:rFonts w:hint="eastAsia" w:ascii="宋体" w:hAnsi="宋体" w:cs="宋体"/>
          <w:b/>
          <w:bCs/>
          <w:color w:val="auto"/>
          <w:sz w:val="24"/>
          <w:szCs w:val="24"/>
          <w:highlight w:val="none"/>
        </w:rPr>
        <w:t>：</w:t>
      </w:r>
    </w:p>
    <w:p>
      <w:pPr>
        <w:spacing w:line="460" w:lineRule="exact"/>
        <w:jc w:val="left"/>
        <w:rPr>
          <w:rFonts w:ascii="宋体" w:hAnsi="宋体" w:cs="宋体"/>
          <w:color w:val="auto"/>
          <w:sz w:val="24"/>
          <w:szCs w:val="24"/>
          <w:highlight w:val="none"/>
        </w:rPr>
      </w:pPr>
      <w:r>
        <w:rPr>
          <w:rFonts w:hint="eastAsia" w:ascii="宋体" w:hAnsi="宋体" w:cs="宋体"/>
          <w:b/>
          <w:bCs/>
          <w:color w:val="auto"/>
          <w:sz w:val="24"/>
          <w:szCs w:val="24"/>
          <w:highlight w:val="none"/>
        </w:rPr>
        <w:t>日期：   年   月   日</w:t>
      </w:r>
    </w:p>
    <w:p>
      <w:pPr>
        <w:spacing w:line="460" w:lineRule="exact"/>
        <w:rPr>
          <w:rFonts w:ascii="宋体" w:hAnsi="宋体" w:cs="宋体"/>
          <w:color w:val="auto"/>
          <w:sz w:val="24"/>
          <w:szCs w:val="24"/>
          <w:highlight w:val="none"/>
        </w:rPr>
      </w:pPr>
    </w:p>
    <w:p>
      <w:pPr>
        <w:spacing w:line="500" w:lineRule="exact"/>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注：</w:t>
      </w:r>
      <w:r>
        <w:rPr>
          <w:rFonts w:hint="eastAsia" w:ascii="宋体" w:hAnsi="宋体" w:cs="宋体"/>
          <w:color w:val="auto"/>
          <w:sz w:val="24"/>
          <w:szCs w:val="28"/>
          <w:highlight w:val="none"/>
        </w:rPr>
        <w:t>提供的服务满足采购需求；付款及服务期等均应响应磋商文件要求。</w:t>
      </w:r>
      <w:r>
        <w:rPr>
          <w:rFonts w:hint="eastAsia" w:ascii="宋体" w:hAnsi="宋体" w:cs="宋体"/>
          <w:bCs/>
          <w:color w:val="auto"/>
          <w:sz w:val="24"/>
          <w:szCs w:val="24"/>
          <w:highlight w:val="none"/>
        </w:rPr>
        <w:br w:type="page"/>
      </w:r>
      <w:bookmarkStart w:id="116" w:name="_Toc29422"/>
      <w:bookmarkStart w:id="117" w:name="_Toc22037"/>
      <w:r>
        <w:rPr>
          <w:rStyle w:val="108"/>
          <w:rFonts w:hint="eastAsia" w:ascii="宋体" w:hAnsi="宋体" w:eastAsia="宋体" w:cs="宋体"/>
          <w:color w:val="auto"/>
          <w:sz w:val="24"/>
          <w:szCs w:val="24"/>
          <w:highlight w:val="none"/>
        </w:rPr>
        <w:t>附件</w:t>
      </w:r>
      <w:bookmarkEnd w:id="115"/>
      <w:bookmarkEnd w:id="116"/>
      <w:bookmarkEnd w:id="117"/>
      <w:r>
        <w:rPr>
          <w:rStyle w:val="108"/>
          <w:rFonts w:hint="eastAsia" w:ascii="宋体" w:hAnsi="宋体" w:cs="宋体"/>
          <w:color w:val="auto"/>
          <w:sz w:val="24"/>
          <w:szCs w:val="24"/>
          <w:highlight w:val="none"/>
          <w:lang w:eastAsia="zh-CN"/>
        </w:rPr>
        <w:t>七</w:t>
      </w:r>
    </w:p>
    <w:p>
      <w:pPr>
        <w:pStyle w:val="8"/>
        <w:spacing w:before="0" w:after="0" w:line="560" w:lineRule="exact"/>
        <w:jc w:val="center"/>
        <w:rPr>
          <w:rFonts w:ascii="宋体" w:hAnsi="宋体" w:eastAsia="宋体" w:cs="宋体"/>
          <w:color w:val="auto"/>
          <w:sz w:val="24"/>
          <w:szCs w:val="24"/>
          <w:highlight w:val="none"/>
        </w:rPr>
      </w:pPr>
      <w:bookmarkStart w:id="118" w:name="_Toc30527"/>
      <w:bookmarkStart w:id="119" w:name="_Toc1624"/>
      <w:bookmarkStart w:id="120" w:name="_Toc18625"/>
      <w:r>
        <w:rPr>
          <w:rFonts w:hint="eastAsia" w:ascii="宋体" w:hAnsi="宋体" w:eastAsia="宋体" w:cs="宋体"/>
          <w:color w:val="auto"/>
          <w:sz w:val="24"/>
          <w:szCs w:val="24"/>
          <w:highlight w:val="none"/>
        </w:rPr>
        <w:t>相关服务承诺函</w:t>
      </w:r>
      <w:bookmarkEnd w:id="118"/>
      <w:bookmarkEnd w:id="119"/>
      <w:bookmarkEnd w:id="120"/>
    </w:p>
    <w:p>
      <w:pPr>
        <w:jc w:val="center"/>
        <w:rPr>
          <w:rFonts w:ascii="宋体" w:hAnsi="宋体" w:cs="宋体"/>
          <w:color w:val="auto"/>
          <w:sz w:val="24"/>
          <w:szCs w:val="28"/>
          <w:highlight w:val="none"/>
        </w:rPr>
      </w:pPr>
    </w:p>
    <w:p>
      <w:pPr>
        <w:jc w:val="center"/>
        <w:rPr>
          <w:rFonts w:ascii="宋体" w:hAnsi="宋体" w:cs="宋体"/>
          <w:color w:val="auto"/>
          <w:sz w:val="24"/>
          <w:szCs w:val="28"/>
          <w:highlight w:val="none"/>
        </w:rPr>
      </w:pPr>
      <w:r>
        <w:rPr>
          <w:rFonts w:hint="eastAsia" w:ascii="宋体" w:hAnsi="宋体" w:cs="宋体"/>
          <w:color w:val="auto"/>
          <w:sz w:val="24"/>
          <w:szCs w:val="28"/>
          <w:highlight w:val="none"/>
        </w:rPr>
        <w:t>(供应商可自行制作格式)</w:t>
      </w:r>
    </w:p>
    <w:p>
      <w:pPr>
        <w:rPr>
          <w:rFonts w:ascii="宋体" w:hAnsi="宋体" w:cs="宋体"/>
          <w:color w:val="auto"/>
          <w:highlight w:val="none"/>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bookmarkStart w:id="121" w:name="_Toc3162"/>
      <w:bookmarkStart w:id="122" w:name="_Toc2238"/>
      <w:bookmarkStart w:id="123" w:name="_Toc7571"/>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b/>
          <w:bCs/>
          <w:color w:val="auto"/>
          <w:kern w:val="0"/>
          <w:sz w:val="36"/>
          <w:szCs w:val="36"/>
          <w:highlight w:val="none"/>
          <w:lang w:val="en-US" w:eastAsia="zh-CN" w:bidi="ar"/>
        </w:rPr>
      </w:pPr>
    </w:p>
    <w:p>
      <w:pPr>
        <w:rPr>
          <w:rStyle w:val="108"/>
          <w:rFonts w:hint="eastAsia" w:ascii="宋体" w:hAnsi="宋体" w:eastAsia="宋体" w:cs="宋体"/>
          <w:color w:val="auto"/>
          <w:sz w:val="24"/>
          <w:szCs w:val="24"/>
          <w:highlight w:val="none"/>
        </w:rPr>
      </w:pPr>
    </w:p>
    <w:p>
      <w:pPr>
        <w:rPr>
          <w:rStyle w:val="108"/>
          <w:rFonts w:hint="eastAsia" w:ascii="宋体" w:hAnsi="宋体" w:eastAsia="宋体" w:cs="宋体"/>
          <w:color w:val="auto"/>
          <w:sz w:val="24"/>
          <w:szCs w:val="24"/>
          <w:highlight w:val="none"/>
          <w:lang w:eastAsia="zh-CN"/>
        </w:rPr>
      </w:pPr>
      <w:r>
        <w:rPr>
          <w:rStyle w:val="108"/>
          <w:rFonts w:hint="eastAsia" w:ascii="宋体" w:hAnsi="宋体" w:eastAsia="宋体" w:cs="宋体"/>
          <w:color w:val="auto"/>
          <w:sz w:val="24"/>
          <w:szCs w:val="24"/>
          <w:highlight w:val="none"/>
        </w:rPr>
        <w:t>附件</w:t>
      </w:r>
      <w:bookmarkEnd w:id="121"/>
      <w:bookmarkEnd w:id="122"/>
      <w:r>
        <w:rPr>
          <w:rStyle w:val="108"/>
          <w:rFonts w:hint="eastAsia" w:ascii="宋体" w:hAnsi="宋体" w:cs="宋体"/>
          <w:color w:val="auto"/>
          <w:sz w:val="24"/>
          <w:szCs w:val="24"/>
          <w:highlight w:val="none"/>
          <w:lang w:eastAsia="zh-CN"/>
        </w:rPr>
        <w:t>八</w:t>
      </w:r>
    </w:p>
    <w:bookmarkEnd w:id="123"/>
    <w:p>
      <w:pPr>
        <w:spacing w:line="360" w:lineRule="auto"/>
        <w:rPr>
          <w:rFonts w:ascii="宋体" w:hAnsi="宋体" w:cs="宋体"/>
          <w:bCs/>
          <w:color w:val="auto"/>
          <w:sz w:val="24"/>
          <w:szCs w:val="24"/>
          <w:highlight w:val="none"/>
        </w:rPr>
      </w:pPr>
      <w:bookmarkStart w:id="124" w:name="_Toc28850"/>
    </w:p>
    <w:p>
      <w:pPr>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磋商文件要求和供应商认为需要提供的其它说明和资</w:t>
      </w:r>
      <w:bookmarkEnd w:id="124"/>
      <w:r>
        <w:rPr>
          <w:rFonts w:hint="eastAsia" w:ascii="宋体" w:hAnsi="宋体" w:cs="宋体"/>
          <w:bCs/>
          <w:color w:val="auto"/>
          <w:sz w:val="24"/>
          <w:szCs w:val="24"/>
          <w:highlight w:val="none"/>
          <w:lang w:eastAsia="zh-CN"/>
        </w:rPr>
        <w:t>料</w:t>
      </w: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b/>
          <w:bCs/>
          <w:color w:val="auto"/>
          <w:kern w:val="0"/>
          <w:sz w:val="36"/>
          <w:szCs w:val="36"/>
          <w:highlight w:val="none"/>
          <w:lang w:val="en-US" w:eastAsia="zh-CN" w:bidi="ar"/>
        </w:rPr>
      </w:pPr>
      <w:r>
        <w:rPr>
          <w:rFonts w:hint="eastAsia" w:ascii="宋体" w:hAnsi="宋体" w:cs="宋体"/>
          <w:b/>
          <w:bCs/>
          <w:color w:val="auto"/>
          <w:kern w:val="0"/>
          <w:sz w:val="36"/>
          <w:szCs w:val="36"/>
          <w:highlight w:val="none"/>
          <w:lang w:val="en-US" w:eastAsia="zh-CN" w:bidi="ar"/>
        </w:rPr>
        <w:t>另附：淠河防洪治理工程（霍山段）环境保护监测及验收服务</w:t>
      </w:r>
    </w:p>
    <w:p>
      <w:pPr>
        <w:keepNext w:val="0"/>
        <w:keepLines w:val="0"/>
        <w:widowControl/>
        <w:suppressLineNumbers w:val="0"/>
        <w:jc w:val="center"/>
        <w:rPr>
          <w:color w:val="auto"/>
          <w:highlight w:val="none"/>
        </w:rPr>
      </w:pPr>
      <w:r>
        <w:rPr>
          <w:rFonts w:hint="eastAsia" w:ascii="宋体" w:hAnsi="宋体" w:eastAsia="宋体" w:cs="宋体"/>
          <w:b/>
          <w:bCs/>
          <w:color w:val="auto"/>
          <w:kern w:val="0"/>
          <w:sz w:val="36"/>
          <w:szCs w:val="36"/>
          <w:highlight w:val="none"/>
          <w:lang w:val="en-US" w:eastAsia="zh-CN" w:bidi="ar"/>
        </w:rPr>
        <w:t>竞争性磋商二轮报价表</w:t>
      </w:r>
    </w:p>
    <w:p>
      <w:pPr>
        <w:keepNext w:val="0"/>
        <w:keepLines w:val="0"/>
        <w:widowControl/>
        <w:suppressLineNumbers w:val="0"/>
        <w:jc w:val="center"/>
        <w:rPr>
          <w:color w:val="auto"/>
          <w:highlight w:val="none"/>
        </w:rPr>
      </w:pPr>
      <w:r>
        <w:rPr>
          <w:rFonts w:hint="eastAsia" w:ascii="宋体" w:hAnsi="宋体" w:eastAsia="宋体" w:cs="宋体"/>
          <w:color w:val="auto"/>
          <w:kern w:val="0"/>
          <w:sz w:val="28"/>
          <w:szCs w:val="28"/>
          <w:highlight w:val="none"/>
          <w:lang w:val="en-US" w:eastAsia="zh-CN" w:bidi="ar"/>
        </w:rPr>
        <w:t>项目编号：</w:t>
      </w:r>
      <w:r>
        <w:rPr>
          <w:rFonts w:hint="eastAsia" w:ascii="宋体" w:hAnsi="宋体" w:eastAsia="宋体" w:cs="宋体"/>
          <w:color w:val="auto"/>
          <w:kern w:val="0"/>
          <w:sz w:val="28"/>
          <w:szCs w:val="28"/>
          <w:highlight w:val="none"/>
          <w:u w:val="single"/>
          <w:lang w:val="en-US" w:eastAsia="zh-CN" w:bidi="ar"/>
        </w:rPr>
        <w:t xml:space="preserve">           </w:t>
      </w:r>
    </w:p>
    <w:p>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pPr>
        <w:keepNext w:val="0"/>
        <w:keepLines w:val="0"/>
        <w:widowControl/>
        <w:suppressLineNumbers w:val="0"/>
        <w:jc w:val="left"/>
        <w:rPr>
          <w:color w:val="auto"/>
          <w:highlight w:val="none"/>
        </w:rPr>
      </w:pPr>
      <w:r>
        <w:rPr>
          <w:rFonts w:hint="eastAsia" w:ascii="宋体" w:hAnsi="宋体" w:eastAsia="宋体" w:cs="宋体"/>
          <w:color w:val="auto"/>
          <w:kern w:val="0"/>
          <w:sz w:val="28"/>
          <w:szCs w:val="28"/>
          <w:highlight w:val="none"/>
          <w:lang w:val="en-US" w:eastAsia="zh-CN" w:bidi="ar"/>
        </w:rPr>
        <w:t>致：</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(采购人) </w:t>
      </w:r>
    </w:p>
    <w:p>
      <w:pPr>
        <w:keepNext w:val="0"/>
        <w:keepLines w:val="0"/>
        <w:widowControl/>
        <w:suppressLineNumbers w:val="0"/>
        <w:ind w:firstLine="560" w:firstLineChars="200"/>
        <w:jc w:val="left"/>
        <w:rPr>
          <w:color w:val="auto"/>
          <w:highlight w:val="none"/>
        </w:rPr>
      </w:pPr>
      <w:r>
        <w:rPr>
          <w:rFonts w:hint="eastAsia" w:ascii="宋体" w:hAnsi="宋体" w:eastAsia="宋体" w:cs="宋体"/>
          <w:color w:val="auto"/>
          <w:kern w:val="0"/>
          <w:sz w:val="28"/>
          <w:szCs w:val="28"/>
          <w:highlight w:val="none"/>
          <w:lang w:val="en-US" w:eastAsia="zh-CN" w:bidi="ar"/>
        </w:rPr>
        <w:t>1、我方愿在磋商响应性文件报价的基础上再次让利，让利后最终报价为（大写）</w:t>
      </w: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8"/>
          <w:szCs w:val="28"/>
          <w:highlight w:val="none"/>
          <w:lang w:val="en-US" w:eastAsia="zh-CN" w:bidi="ar"/>
        </w:rPr>
        <w:t xml:space="preserve">元（小写        元）。如果我方有幸成为成交单位，上述最终报价为我方完成所委托服务项目范围内全部工作的全部费用，该费用不再调整。 </w:t>
      </w:r>
    </w:p>
    <w:p>
      <w:pPr>
        <w:keepNext w:val="0"/>
        <w:keepLines w:val="0"/>
        <w:widowControl/>
        <w:suppressLineNumbers w:val="0"/>
        <w:ind w:firstLine="280" w:firstLineChars="100"/>
        <w:jc w:val="left"/>
        <w:rPr>
          <w:color w:val="auto"/>
          <w:highlight w:val="none"/>
        </w:rPr>
      </w:pPr>
      <w:r>
        <w:rPr>
          <w:rFonts w:hint="eastAsia" w:ascii="宋体" w:hAnsi="宋体" w:eastAsia="宋体" w:cs="宋体"/>
          <w:color w:val="auto"/>
          <w:kern w:val="0"/>
          <w:sz w:val="28"/>
          <w:szCs w:val="28"/>
          <w:highlight w:val="none"/>
          <w:lang w:val="en-US" w:eastAsia="zh-CN" w:bidi="ar"/>
        </w:rPr>
        <w:t xml:space="preserve">2、其他部分与响应性文件内容一致。 </w:t>
      </w:r>
    </w:p>
    <w:p>
      <w:pPr>
        <w:keepNext w:val="0"/>
        <w:keepLines w:val="0"/>
        <w:widowControl/>
        <w:suppressLineNumbers w:val="0"/>
        <w:jc w:val="righ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供应商： （盖章或加盖</w:t>
      </w:r>
      <w:r>
        <w:rPr>
          <w:rFonts w:hint="eastAsia" w:ascii="宋体" w:hAnsi="宋体" w:cs="宋体"/>
          <w:color w:val="auto"/>
          <w:kern w:val="0"/>
          <w:sz w:val="28"/>
          <w:szCs w:val="28"/>
          <w:highlight w:val="none"/>
          <w:lang w:val="en-US" w:eastAsia="zh-CN" w:bidi="ar"/>
        </w:rPr>
        <w:t>加盖公章</w:t>
      </w:r>
      <w:r>
        <w:rPr>
          <w:rFonts w:hint="eastAsia" w:ascii="宋体" w:hAnsi="宋体" w:eastAsia="宋体" w:cs="宋体"/>
          <w:color w:val="auto"/>
          <w:kern w:val="0"/>
          <w:sz w:val="28"/>
          <w:szCs w:val="28"/>
          <w:highlight w:val="none"/>
          <w:lang w:val="en-US" w:eastAsia="zh-CN" w:bidi="ar"/>
        </w:rPr>
        <w:t xml:space="preserve">） </w:t>
      </w:r>
    </w:p>
    <w:p>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 xml:space="preserve">法定代表人或委托代理人： （签字或盖章） </w:t>
      </w:r>
    </w:p>
    <w:p>
      <w:pPr>
        <w:keepNext w:val="0"/>
        <w:keepLines w:val="0"/>
        <w:widowControl/>
        <w:suppressLineNumbers w:val="0"/>
        <w:jc w:val="right"/>
        <w:rPr>
          <w:color w:val="auto"/>
          <w:highlight w:val="none"/>
        </w:rPr>
      </w:pPr>
      <w:r>
        <w:rPr>
          <w:rFonts w:hint="eastAsia" w:ascii="宋体" w:hAnsi="宋体" w:eastAsia="宋体" w:cs="宋体"/>
          <w:color w:val="auto"/>
          <w:kern w:val="0"/>
          <w:sz w:val="28"/>
          <w:szCs w:val="28"/>
          <w:highlight w:val="none"/>
          <w:lang w:val="en-US" w:eastAsia="zh-CN" w:bidi="ar"/>
        </w:rPr>
        <w:t xml:space="preserve">日 期： 年 月 日 </w:t>
      </w:r>
    </w:p>
    <w:p>
      <w:pPr>
        <w:keepNext w:val="0"/>
        <w:keepLines w:val="0"/>
        <w:widowControl/>
        <w:suppressLineNumbers w:val="0"/>
        <w:jc w:val="left"/>
        <w:rPr>
          <w:rFonts w:ascii="黑体" w:hAnsi="宋体" w:eastAsia="黑体" w:cs="黑体"/>
          <w:b/>
          <w:bCs/>
          <w:color w:val="auto"/>
          <w:kern w:val="0"/>
          <w:sz w:val="28"/>
          <w:szCs w:val="28"/>
          <w:highlight w:val="none"/>
          <w:lang w:val="en-US" w:eastAsia="zh-CN" w:bidi="ar"/>
        </w:rPr>
      </w:pPr>
    </w:p>
    <w:p>
      <w:pPr>
        <w:keepNext w:val="0"/>
        <w:keepLines w:val="0"/>
        <w:widowControl/>
        <w:suppressLineNumbers w:val="0"/>
        <w:jc w:val="left"/>
        <w:rPr>
          <w:color w:val="auto"/>
          <w:highlight w:val="none"/>
        </w:rPr>
      </w:pPr>
      <w:r>
        <w:rPr>
          <w:rFonts w:ascii="黑体" w:hAnsi="宋体" w:eastAsia="黑体" w:cs="黑体"/>
          <w:b/>
          <w:bCs/>
          <w:color w:val="auto"/>
          <w:kern w:val="0"/>
          <w:sz w:val="28"/>
          <w:szCs w:val="28"/>
          <w:highlight w:val="none"/>
          <w:lang w:val="en-US" w:eastAsia="zh-CN" w:bidi="ar"/>
        </w:rPr>
        <w:t xml:space="preserve">（注：本表无需附在响应文件中，由供应商在依磋商情况填写，填好后传至系统。二轮报价只报总价，结算时按一、 </w:t>
      </w:r>
      <w:r>
        <w:rPr>
          <w:rFonts w:hint="eastAsia" w:ascii="黑体" w:hAnsi="宋体" w:eastAsia="黑体" w:cs="黑体"/>
          <w:b/>
          <w:bCs/>
          <w:color w:val="auto"/>
          <w:kern w:val="0"/>
          <w:sz w:val="28"/>
          <w:szCs w:val="28"/>
          <w:highlight w:val="none"/>
          <w:lang w:val="en-US" w:eastAsia="zh-CN" w:bidi="ar"/>
        </w:rPr>
        <w:t>二轮报价下降比例同比例调整各分项单价（如有）。</w:t>
      </w:r>
    </w:p>
    <w:sectPr>
      <w:headerReference r:id="rId5" w:type="default"/>
      <w:footerReference r:id="rId7" w:type="default"/>
      <w:headerReference r:id="rId6" w:type="even"/>
      <w:footerReference r:id="rId8" w:type="even"/>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D7F23F-AE32-44C7-89E9-2AA20BADD581}"/>
  </w:font>
  <w:font w:name="黑体">
    <w:panose1 w:val="02010609060101010101"/>
    <w:charset w:val="86"/>
    <w:family w:val="auto"/>
    <w:pitch w:val="default"/>
    <w:sig w:usb0="800002BF" w:usb1="38CF7CFA" w:usb2="00000016" w:usb3="00000000" w:csb0="00040001" w:csb1="00000000"/>
    <w:embedRegular r:id="rId2" w:fontKey="{BF7361EE-BD71-4031-AEA6-B8D84DDA74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2F54DC3-7EA6-4076-AEC5-8C318EF10434}"/>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modern"/>
    <w:pitch w:val="default"/>
    <w:sig w:usb0="00000000" w:usb1="00000000" w:usb2="00000030" w:usb3="00000000" w:csb0="4008009F" w:csb1="DFD70000"/>
    <w:embedRegular r:id="rId4" w:fontKey="{D8C94445-2BAA-4CC8-B8F0-EE6897163D7D}"/>
  </w:font>
  <w:font w:name="华文中宋">
    <w:panose1 w:val="02010600040101010101"/>
    <w:charset w:val="86"/>
    <w:family w:val="auto"/>
    <w:pitch w:val="default"/>
    <w:sig w:usb0="00000287" w:usb1="080F0000" w:usb2="00000000" w:usb3="00000000" w:csb0="0004009F" w:csb1="DFD70000"/>
    <w:embedRegular r:id="rId5" w:fontKey="{0E33744D-116A-432C-98DD-AB143F83444E}"/>
  </w:font>
  <w:font w:name="仿宋">
    <w:panose1 w:val="02010609060101010101"/>
    <w:charset w:val="86"/>
    <w:family w:val="auto"/>
    <w:pitch w:val="default"/>
    <w:sig w:usb0="800002BF" w:usb1="38CF7CFA" w:usb2="00000016" w:usb3="00000000" w:csb0="00040001" w:csb1="00000000"/>
    <w:embedRegular r:id="rId6" w:fontKey="{BB3E5E27-B6A1-4AB4-A211-E4270AF063EF}"/>
  </w:font>
  <w:font w:name="新宋体">
    <w:panose1 w:val="02010609030101010101"/>
    <w:charset w:val="86"/>
    <w:family w:val="auto"/>
    <w:pitch w:val="default"/>
    <w:sig w:usb0="00000203" w:usb1="288F0000" w:usb2="00000006" w:usb3="00000000" w:csb0="00040001" w:csb1="00000000"/>
    <w:embedRegular r:id="rId7" w:fontKey="{11101A02-10C6-4BE9-82C9-6B4AD15F0439}"/>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keepNext w:val="0"/>
      <w:keepLines w:val="0"/>
      <w:pageBreakBefore w:val="0"/>
      <w:widowControl w:val="0"/>
      <w:kinsoku/>
      <w:wordWrap/>
      <w:overflowPunct/>
      <w:topLinePunct w:val="0"/>
      <w:bidi w:val="0"/>
      <w:adjustRightInd/>
      <w:snapToGrid w:val="0"/>
      <w:spacing w:line="500" w:lineRule="exact"/>
      <w:textAlignment w:val="auto"/>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Style w:val="42"/>
                            </w:rPr>
                          </w:pPr>
                          <w:r>
                            <w:rPr>
                              <w:rStyle w:val="42"/>
                            </w:rPr>
                            <w:fldChar w:fldCharType="begin"/>
                          </w:r>
                          <w:r>
                            <w:rPr>
                              <w:rStyle w:val="42"/>
                            </w:rPr>
                            <w:instrText xml:space="preserve">PAGE  </w:instrText>
                          </w:r>
                          <w:r>
                            <w:rPr>
                              <w:rStyle w:val="42"/>
                            </w:rPr>
                            <w:fldChar w:fldCharType="separate"/>
                          </w:r>
                          <w:r>
                            <w:rPr>
                              <w:rStyle w:val="42"/>
                            </w:rPr>
                            <w:t>45</w:t>
                          </w:r>
                          <w:r>
                            <w:rPr>
                              <w:rStyle w:val="42"/>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rV38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aDEcYsDv/z4fvn5+/LrG1lW&#10;NzdZoT5AjYn3AVPT8NYPOXvyAzoz8UFFm79IiWAc9T1f9ZVDIiI/Wq/W6wpDAmPzBXHYw/MQIb2T&#10;3pJsNDTiAIuu/PQB0pg6p+Rqzt9pY9DPa+P+ciBm9rDc+9hjttKwH6bG9749I58eZ99Qh6tOiXnv&#10;UNq8JrMRZ2M/G8cQ9aEre5TrQXhzTNhE6S1XGGGnwji0wm5asLwVj+8l6+Gn2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9q1d/LAQAAnAMAAA4AAAAAAAAAAQAgAAAAHgEAAGRycy9lMm9E&#10;b2MueG1sUEsFBgAAAAAGAAYAWQEAAFsFAAAAAA==&#10;">
              <v:fill on="f" focussize="0,0"/>
              <v:stroke on="f"/>
              <v:imagedata o:title=""/>
              <o:lock v:ext="edit" aspectratio="f"/>
              <v:textbox inset="0mm,0mm,0mm,0mm" style="mso-fit-shape-to-text:t;">
                <w:txbxContent>
                  <w:p>
                    <w:pPr>
                      <w:pStyle w:val="25"/>
                      <w:rPr>
                        <w:rStyle w:val="42"/>
                      </w:rPr>
                    </w:pPr>
                    <w:r>
                      <w:rPr>
                        <w:rStyle w:val="42"/>
                      </w:rPr>
                      <w:fldChar w:fldCharType="begin"/>
                    </w:r>
                    <w:r>
                      <w:rPr>
                        <w:rStyle w:val="42"/>
                      </w:rPr>
                      <w:instrText xml:space="preserve">PAGE  </w:instrText>
                    </w:r>
                    <w:r>
                      <w:rPr>
                        <w:rStyle w:val="42"/>
                      </w:rPr>
                      <w:fldChar w:fldCharType="separate"/>
                    </w:r>
                    <w:r>
                      <w:rPr>
                        <w:rStyle w:val="42"/>
                      </w:rPr>
                      <w:t>45</w:t>
                    </w:r>
                    <w:r>
                      <w:rPr>
                        <w:rStyle w:val="4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2"/>
      </w:rPr>
    </w:pPr>
    <w:r>
      <w:rPr>
        <w:rStyle w:val="42"/>
      </w:rPr>
      <w:fldChar w:fldCharType="begin"/>
    </w:r>
    <w:r>
      <w:rPr>
        <w:rStyle w:val="42"/>
      </w:rPr>
      <w:instrText xml:space="preserve">PAGE  </w:instrText>
    </w:r>
    <w:r>
      <w:rPr>
        <w:rStyle w:val="42"/>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216" w:lineRule="auto"/>
      <w:ind w:left="40"/>
      <w:rPr>
        <w:rFonts w:hint="eastAsia" w:eastAsia="宋体"/>
        <w:sz w:val="18"/>
        <w:szCs w:val="18"/>
        <w:lang w:val="en-US" w:eastAsia="zh-CN"/>
      </w:rPr>
    </w:pPr>
    <w:r>
      <w:rPr>
        <w:rFonts w:hint="default"/>
        <w:lang w:val="en-US"/>
      </w:rPr>
      <mc:AlternateContent>
        <mc:Choice Requires="wps">
          <w:drawing>
            <wp:anchor distT="0" distB="0" distL="114300" distR="114300" simplePos="0" relativeHeight="251660288" behindDoc="0" locked="0" layoutInCell="0" allowOverlap="1">
              <wp:simplePos x="0" y="0"/>
              <wp:positionH relativeFrom="page">
                <wp:posOffset>1062355</wp:posOffset>
              </wp:positionH>
              <wp:positionV relativeFrom="page">
                <wp:posOffset>869950</wp:posOffset>
              </wp:positionV>
              <wp:extent cx="5437505" cy="6350"/>
              <wp:effectExtent l="0" t="0" r="0" b="0"/>
              <wp:wrapNone/>
              <wp:docPr id="5" name="任意多边形 5"/>
              <wp:cNvGraphicFramePr/>
              <a:graphic xmlns:a="http://schemas.openxmlformats.org/drawingml/2006/main">
                <a:graphicData uri="http://schemas.microsoft.com/office/word/2010/wordprocessingShape">
                  <wps:wsp>
                    <wps:cNvSpPr/>
                    <wps:spPr>
                      <a:xfrm>
                        <a:off x="0" y="0"/>
                        <a:ext cx="5437505" cy="6350"/>
                      </a:xfrm>
                      <a:custGeom>
                        <a:avLst/>
                        <a:gdLst/>
                        <a:ahLst/>
                        <a:cxnLst/>
                        <a:pathLst>
                          <a:path w="8562" h="10">
                            <a:moveTo>
                              <a:pt x="0" y="9"/>
                            </a:moveTo>
                            <a:lnTo>
                              <a:pt x="8562" y="9"/>
                            </a:lnTo>
                            <a:lnTo>
                              <a:pt x="8562"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3.65pt;margin-top:68.5pt;height:0.5pt;width:428.15pt;mso-position-horizontal-relative:page;mso-position-vertical-relative:page;z-index:251660288;mso-width-relative:page;mso-height-relative:page;" fillcolor="#000000" filled="t" stroked="f" coordsize="8562,10" o:allowincell="f" o:gfxdata="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O+fh2wAAAAwBAAAP&#10;AAAAAAAAAAEAIAAAACIAAABkcnMvZG93bnJldi54bWxQSwECFAAUAAAACACHTuJAqYF8hBUCAAB5&#10;BAAADgAAAAAAAAABACAAAAAqAQAAZHJzL2Uyb0RvYy54bWxQSwUGAAAAAAYABgBZAQAAsQUAAAAA&#10;" path="m0,9l8562,9,8562,0,0,0,0,9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8460"/>
        <w:tab w:val="left" w:pos="9180"/>
        <w:tab w:val="clear" w:pos="4153"/>
        <w:tab w:val="clear" w:pos="8306"/>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Pr>
    </w:pPr>
    <w:r>
      <w:rPr>
        <w:rStyle w:val="42"/>
      </w:rPr>
      <w:fldChar w:fldCharType="begin"/>
    </w:r>
    <w:r>
      <w:rPr>
        <w:rStyle w:val="42"/>
      </w:rPr>
      <w:instrText xml:space="preserve">PAGE  </w:instrText>
    </w:r>
    <w:r>
      <w:rPr>
        <w:rStyle w:val="42"/>
      </w:rPr>
      <w:fldChar w:fldCharType="end"/>
    </w:r>
  </w:p>
  <w:p>
    <w:pPr>
      <w:pStyle w:val="2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06AFB53"/>
    <w:multiLevelType w:val="singleLevel"/>
    <w:tmpl w:val="606AFB53"/>
    <w:lvl w:ilvl="0" w:tentative="0">
      <w:start w:val="2"/>
      <w:numFmt w:val="decimal"/>
      <w:suff w:val="nothing"/>
      <w:lvlText w:val="%1、"/>
      <w:lvlJc w:val="left"/>
    </w:lvl>
  </w:abstractNum>
  <w:abstractNum w:abstractNumId="3">
    <w:nsid w:val="6BDC27E4"/>
    <w:multiLevelType w:val="singleLevel"/>
    <w:tmpl w:val="6BDC27E4"/>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F279A"/>
    <w:rsid w:val="0050472D"/>
    <w:rsid w:val="005236AE"/>
    <w:rsid w:val="00524A87"/>
    <w:rsid w:val="00533AAE"/>
    <w:rsid w:val="00554CE3"/>
    <w:rsid w:val="005710D8"/>
    <w:rsid w:val="005A03E4"/>
    <w:rsid w:val="005B04B8"/>
    <w:rsid w:val="005E38A4"/>
    <w:rsid w:val="005E56CC"/>
    <w:rsid w:val="005E754A"/>
    <w:rsid w:val="00654D2C"/>
    <w:rsid w:val="00661562"/>
    <w:rsid w:val="00682117"/>
    <w:rsid w:val="0068795B"/>
    <w:rsid w:val="00695280"/>
    <w:rsid w:val="006B21E7"/>
    <w:rsid w:val="006D3DB9"/>
    <w:rsid w:val="006F01D1"/>
    <w:rsid w:val="006F08DE"/>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7442FA"/>
    <w:rsid w:val="017E1B19"/>
    <w:rsid w:val="01D4135C"/>
    <w:rsid w:val="01ED3B47"/>
    <w:rsid w:val="026E6E42"/>
    <w:rsid w:val="02AF7C95"/>
    <w:rsid w:val="02F94923"/>
    <w:rsid w:val="03062E20"/>
    <w:rsid w:val="03B22505"/>
    <w:rsid w:val="04067181"/>
    <w:rsid w:val="04103CCA"/>
    <w:rsid w:val="04531F50"/>
    <w:rsid w:val="04B470EA"/>
    <w:rsid w:val="04BD60AE"/>
    <w:rsid w:val="04E7218F"/>
    <w:rsid w:val="04EE7346"/>
    <w:rsid w:val="05045387"/>
    <w:rsid w:val="05104E6D"/>
    <w:rsid w:val="05B11FF4"/>
    <w:rsid w:val="05ED76CD"/>
    <w:rsid w:val="05F07D7B"/>
    <w:rsid w:val="06262FF6"/>
    <w:rsid w:val="066940AD"/>
    <w:rsid w:val="06E66340"/>
    <w:rsid w:val="07267565"/>
    <w:rsid w:val="078C18B4"/>
    <w:rsid w:val="07A20F5E"/>
    <w:rsid w:val="07AC659B"/>
    <w:rsid w:val="0861256E"/>
    <w:rsid w:val="088A4403"/>
    <w:rsid w:val="08983B19"/>
    <w:rsid w:val="08F605E1"/>
    <w:rsid w:val="095F7F4C"/>
    <w:rsid w:val="09A60123"/>
    <w:rsid w:val="09AE75F4"/>
    <w:rsid w:val="09B95F2A"/>
    <w:rsid w:val="0A0C7574"/>
    <w:rsid w:val="0A424E4D"/>
    <w:rsid w:val="0A5D3B7D"/>
    <w:rsid w:val="0AF42208"/>
    <w:rsid w:val="0AF82AC1"/>
    <w:rsid w:val="0B66533A"/>
    <w:rsid w:val="0B7712B9"/>
    <w:rsid w:val="0B84414D"/>
    <w:rsid w:val="0BD46BAD"/>
    <w:rsid w:val="0BE120B2"/>
    <w:rsid w:val="0CEC43CA"/>
    <w:rsid w:val="0D1F7A4E"/>
    <w:rsid w:val="0D50431A"/>
    <w:rsid w:val="0DF624E0"/>
    <w:rsid w:val="0E150037"/>
    <w:rsid w:val="0E1C130A"/>
    <w:rsid w:val="0E346850"/>
    <w:rsid w:val="0E404088"/>
    <w:rsid w:val="0EA113FA"/>
    <w:rsid w:val="0EC71F0D"/>
    <w:rsid w:val="0ECA11CC"/>
    <w:rsid w:val="0F155D1B"/>
    <w:rsid w:val="0F390E8E"/>
    <w:rsid w:val="0F8F57EF"/>
    <w:rsid w:val="0FC465FA"/>
    <w:rsid w:val="0FF3693D"/>
    <w:rsid w:val="0FF97625"/>
    <w:rsid w:val="1018304A"/>
    <w:rsid w:val="10917F89"/>
    <w:rsid w:val="10991687"/>
    <w:rsid w:val="110475FD"/>
    <w:rsid w:val="111B3762"/>
    <w:rsid w:val="119066D9"/>
    <w:rsid w:val="11A335B5"/>
    <w:rsid w:val="11C1163A"/>
    <w:rsid w:val="11F66738"/>
    <w:rsid w:val="1219428E"/>
    <w:rsid w:val="12A101DB"/>
    <w:rsid w:val="13490C7D"/>
    <w:rsid w:val="135C3D02"/>
    <w:rsid w:val="13645F7C"/>
    <w:rsid w:val="13D52CCE"/>
    <w:rsid w:val="13E454B0"/>
    <w:rsid w:val="14E27C21"/>
    <w:rsid w:val="153B2049"/>
    <w:rsid w:val="1548243F"/>
    <w:rsid w:val="15614DA8"/>
    <w:rsid w:val="15AD79BC"/>
    <w:rsid w:val="15D20258"/>
    <w:rsid w:val="16066864"/>
    <w:rsid w:val="168C408F"/>
    <w:rsid w:val="168E1562"/>
    <w:rsid w:val="16991EF7"/>
    <w:rsid w:val="16D72F09"/>
    <w:rsid w:val="173850A7"/>
    <w:rsid w:val="174C0AC9"/>
    <w:rsid w:val="176E5DC1"/>
    <w:rsid w:val="177B4CDC"/>
    <w:rsid w:val="17A0154D"/>
    <w:rsid w:val="17BA7FA6"/>
    <w:rsid w:val="181D63AE"/>
    <w:rsid w:val="184A3267"/>
    <w:rsid w:val="18DB0255"/>
    <w:rsid w:val="18FD74C3"/>
    <w:rsid w:val="192B2CC7"/>
    <w:rsid w:val="193752CA"/>
    <w:rsid w:val="198B1495"/>
    <w:rsid w:val="19BF1FB6"/>
    <w:rsid w:val="19D86C0E"/>
    <w:rsid w:val="1A6C248D"/>
    <w:rsid w:val="1AB1384D"/>
    <w:rsid w:val="1AF45622"/>
    <w:rsid w:val="1B5A7D5C"/>
    <w:rsid w:val="1B7B26E1"/>
    <w:rsid w:val="1BBFA30C"/>
    <w:rsid w:val="1BDF0C29"/>
    <w:rsid w:val="1BEC2FB3"/>
    <w:rsid w:val="1BF940AE"/>
    <w:rsid w:val="1C1A0C17"/>
    <w:rsid w:val="1C1B3898"/>
    <w:rsid w:val="1C32741A"/>
    <w:rsid w:val="1C405AE5"/>
    <w:rsid w:val="1CC15A2F"/>
    <w:rsid w:val="1D214EDE"/>
    <w:rsid w:val="1D2C777E"/>
    <w:rsid w:val="1D960483"/>
    <w:rsid w:val="1DA97D6B"/>
    <w:rsid w:val="1DCD2970"/>
    <w:rsid w:val="1DF15284"/>
    <w:rsid w:val="1E626070"/>
    <w:rsid w:val="1F171CFB"/>
    <w:rsid w:val="1F3C13B6"/>
    <w:rsid w:val="1F4B49D6"/>
    <w:rsid w:val="1FE502EB"/>
    <w:rsid w:val="1FF85069"/>
    <w:rsid w:val="20F41885"/>
    <w:rsid w:val="21030C47"/>
    <w:rsid w:val="212611D2"/>
    <w:rsid w:val="21621621"/>
    <w:rsid w:val="21993B18"/>
    <w:rsid w:val="219959F5"/>
    <w:rsid w:val="21D95D87"/>
    <w:rsid w:val="2234724F"/>
    <w:rsid w:val="22386CFF"/>
    <w:rsid w:val="22464B8D"/>
    <w:rsid w:val="229A201B"/>
    <w:rsid w:val="22B1460E"/>
    <w:rsid w:val="22E63803"/>
    <w:rsid w:val="230B1571"/>
    <w:rsid w:val="233F1DB4"/>
    <w:rsid w:val="23884D22"/>
    <w:rsid w:val="238C6E29"/>
    <w:rsid w:val="239974D6"/>
    <w:rsid w:val="23E036AB"/>
    <w:rsid w:val="23E266D0"/>
    <w:rsid w:val="23E4618A"/>
    <w:rsid w:val="23FE1AD5"/>
    <w:rsid w:val="244E3D8C"/>
    <w:rsid w:val="24B335CE"/>
    <w:rsid w:val="24F11BE1"/>
    <w:rsid w:val="25E440D7"/>
    <w:rsid w:val="25EF0E4B"/>
    <w:rsid w:val="26143F3E"/>
    <w:rsid w:val="269C26E3"/>
    <w:rsid w:val="27110C4C"/>
    <w:rsid w:val="271A2793"/>
    <w:rsid w:val="272E2D63"/>
    <w:rsid w:val="27410CB9"/>
    <w:rsid w:val="276D441A"/>
    <w:rsid w:val="27915427"/>
    <w:rsid w:val="27F96B12"/>
    <w:rsid w:val="28020FB5"/>
    <w:rsid w:val="2861396F"/>
    <w:rsid w:val="28B42BEE"/>
    <w:rsid w:val="28B44010"/>
    <w:rsid w:val="29384EA8"/>
    <w:rsid w:val="29E26463"/>
    <w:rsid w:val="2A023B5C"/>
    <w:rsid w:val="2A07065D"/>
    <w:rsid w:val="2A0A08C3"/>
    <w:rsid w:val="2A534564"/>
    <w:rsid w:val="2A573A70"/>
    <w:rsid w:val="2BB83169"/>
    <w:rsid w:val="2C2E5116"/>
    <w:rsid w:val="2C5055BA"/>
    <w:rsid w:val="2CBD48CE"/>
    <w:rsid w:val="2CC367F7"/>
    <w:rsid w:val="2CC81938"/>
    <w:rsid w:val="2CE211B2"/>
    <w:rsid w:val="2E015B36"/>
    <w:rsid w:val="2E275F81"/>
    <w:rsid w:val="2E4E51C2"/>
    <w:rsid w:val="2E600E98"/>
    <w:rsid w:val="2E77681E"/>
    <w:rsid w:val="2F4B2B19"/>
    <w:rsid w:val="2F6246CC"/>
    <w:rsid w:val="2FC53683"/>
    <w:rsid w:val="2FCC6355"/>
    <w:rsid w:val="2FD23E16"/>
    <w:rsid w:val="2FE97A5F"/>
    <w:rsid w:val="2FF21E67"/>
    <w:rsid w:val="305A47DE"/>
    <w:rsid w:val="309E348C"/>
    <w:rsid w:val="30AB0C27"/>
    <w:rsid w:val="3133780F"/>
    <w:rsid w:val="31394322"/>
    <w:rsid w:val="3159147B"/>
    <w:rsid w:val="3184082E"/>
    <w:rsid w:val="31AB60DA"/>
    <w:rsid w:val="31CC6EB9"/>
    <w:rsid w:val="31DC207C"/>
    <w:rsid w:val="32617B06"/>
    <w:rsid w:val="328304A8"/>
    <w:rsid w:val="32AD45D6"/>
    <w:rsid w:val="32BC5F4D"/>
    <w:rsid w:val="330D0BA3"/>
    <w:rsid w:val="330D3EA9"/>
    <w:rsid w:val="33393656"/>
    <w:rsid w:val="337C1CD3"/>
    <w:rsid w:val="33C11B6F"/>
    <w:rsid w:val="33FE364D"/>
    <w:rsid w:val="3429115A"/>
    <w:rsid w:val="343202D7"/>
    <w:rsid w:val="34325CD9"/>
    <w:rsid w:val="346113B3"/>
    <w:rsid w:val="349B511E"/>
    <w:rsid w:val="34C72260"/>
    <w:rsid w:val="34F2580B"/>
    <w:rsid w:val="35134CB4"/>
    <w:rsid w:val="35CB0CFC"/>
    <w:rsid w:val="35E054DE"/>
    <w:rsid w:val="36024564"/>
    <w:rsid w:val="36080463"/>
    <w:rsid w:val="36204F2D"/>
    <w:rsid w:val="36276335"/>
    <w:rsid w:val="36981B5D"/>
    <w:rsid w:val="36A9634B"/>
    <w:rsid w:val="36D079C8"/>
    <w:rsid w:val="37841E99"/>
    <w:rsid w:val="37D716E7"/>
    <w:rsid w:val="38765C86"/>
    <w:rsid w:val="387D4835"/>
    <w:rsid w:val="390A4CE0"/>
    <w:rsid w:val="393E3A38"/>
    <w:rsid w:val="39A552A4"/>
    <w:rsid w:val="39D761EF"/>
    <w:rsid w:val="3A76410D"/>
    <w:rsid w:val="3A8F3EBA"/>
    <w:rsid w:val="3AB10259"/>
    <w:rsid w:val="3ABA6222"/>
    <w:rsid w:val="3B301F44"/>
    <w:rsid w:val="3B68083E"/>
    <w:rsid w:val="3BAE4829"/>
    <w:rsid w:val="3BC86B97"/>
    <w:rsid w:val="3BDF73C5"/>
    <w:rsid w:val="3D7C4A02"/>
    <w:rsid w:val="3D902D22"/>
    <w:rsid w:val="3DC221F0"/>
    <w:rsid w:val="3DF4021A"/>
    <w:rsid w:val="3DFD1951"/>
    <w:rsid w:val="3E047963"/>
    <w:rsid w:val="3E794D30"/>
    <w:rsid w:val="3E8E5BBA"/>
    <w:rsid w:val="3E940D86"/>
    <w:rsid w:val="3EB86069"/>
    <w:rsid w:val="3EDC10FF"/>
    <w:rsid w:val="3F0A5E23"/>
    <w:rsid w:val="3F175DCD"/>
    <w:rsid w:val="3F785608"/>
    <w:rsid w:val="3FFF20F3"/>
    <w:rsid w:val="402734A4"/>
    <w:rsid w:val="405A4873"/>
    <w:rsid w:val="405C30EF"/>
    <w:rsid w:val="406C497A"/>
    <w:rsid w:val="407B3EBF"/>
    <w:rsid w:val="40DF693D"/>
    <w:rsid w:val="40F16A8E"/>
    <w:rsid w:val="412545BE"/>
    <w:rsid w:val="412A62FC"/>
    <w:rsid w:val="4184340D"/>
    <w:rsid w:val="41E21275"/>
    <w:rsid w:val="42D67AEC"/>
    <w:rsid w:val="42F6152E"/>
    <w:rsid w:val="42FF6CFF"/>
    <w:rsid w:val="43771108"/>
    <w:rsid w:val="438C4E1A"/>
    <w:rsid w:val="43F543BE"/>
    <w:rsid w:val="4429503A"/>
    <w:rsid w:val="4440126D"/>
    <w:rsid w:val="445F7604"/>
    <w:rsid w:val="446523D2"/>
    <w:rsid w:val="448E3F85"/>
    <w:rsid w:val="44DA0696"/>
    <w:rsid w:val="44E45943"/>
    <w:rsid w:val="44E80BF1"/>
    <w:rsid w:val="4583380E"/>
    <w:rsid w:val="45993146"/>
    <w:rsid w:val="45D42875"/>
    <w:rsid w:val="45EB3538"/>
    <w:rsid w:val="46440499"/>
    <w:rsid w:val="464F5331"/>
    <w:rsid w:val="466F5BDA"/>
    <w:rsid w:val="46732F18"/>
    <w:rsid w:val="46771AC0"/>
    <w:rsid w:val="46DD3374"/>
    <w:rsid w:val="47867C8A"/>
    <w:rsid w:val="47954A4A"/>
    <w:rsid w:val="479B001B"/>
    <w:rsid w:val="47B36023"/>
    <w:rsid w:val="47D21CE6"/>
    <w:rsid w:val="481456B4"/>
    <w:rsid w:val="484040EE"/>
    <w:rsid w:val="48876507"/>
    <w:rsid w:val="48A14890"/>
    <w:rsid w:val="48CC6C2B"/>
    <w:rsid w:val="4A4C0CEF"/>
    <w:rsid w:val="4A67403B"/>
    <w:rsid w:val="4A734E79"/>
    <w:rsid w:val="4ABD1525"/>
    <w:rsid w:val="4AD27698"/>
    <w:rsid w:val="4B1B114F"/>
    <w:rsid w:val="4B250368"/>
    <w:rsid w:val="4B501AE7"/>
    <w:rsid w:val="4B7A75FA"/>
    <w:rsid w:val="4B7B52E3"/>
    <w:rsid w:val="4B7F6C9B"/>
    <w:rsid w:val="4BB01238"/>
    <w:rsid w:val="4BF93ABC"/>
    <w:rsid w:val="4C2F1AF1"/>
    <w:rsid w:val="4C3F1A69"/>
    <w:rsid w:val="4C4C7D4D"/>
    <w:rsid w:val="4C692E82"/>
    <w:rsid w:val="4C974380"/>
    <w:rsid w:val="4CA7336B"/>
    <w:rsid w:val="4CAC181F"/>
    <w:rsid w:val="4D001539"/>
    <w:rsid w:val="4D060FF1"/>
    <w:rsid w:val="4D5B5816"/>
    <w:rsid w:val="4D714797"/>
    <w:rsid w:val="4D7809BA"/>
    <w:rsid w:val="4D820C8A"/>
    <w:rsid w:val="4D950505"/>
    <w:rsid w:val="4D9F0EEA"/>
    <w:rsid w:val="4DAB7D28"/>
    <w:rsid w:val="4E2D2E33"/>
    <w:rsid w:val="4F095D32"/>
    <w:rsid w:val="4F1A4882"/>
    <w:rsid w:val="4F3C4DEC"/>
    <w:rsid w:val="4F6D0EC1"/>
    <w:rsid w:val="50291416"/>
    <w:rsid w:val="502D71CA"/>
    <w:rsid w:val="504900D3"/>
    <w:rsid w:val="509C7395"/>
    <w:rsid w:val="51BD002A"/>
    <w:rsid w:val="51DE2BE6"/>
    <w:rsid w:val="51FD18BA"/>
    <w:rsid w:val="52243B10"/>
    <w:rsid w:val="52404BB1"/>
    <w:rsid w:val="52892F5B"/>
    <w:rsid w:val="52F61709"/>
    <w:rsid w:val="52FD1026"/>
    <w:rsid w:val="53CB378E"/>
    <w:rsid w:val="54073585"/>
    <w:rsid w:val="541162C9"/>
    <w:rsid w:val="54995B0C"/>
    <w:rsid w:val="54B05C07"/>
    <w:rsid w:val="54DB7C79"/>
    <w:rsid w:val="54E74E26"/>
    <w:rsid w:val="54F2448F"/>
    <w:rsid w:val="55580A4D"/>
    <w:rsid w:val="55B45B96"/>
    <w:rsid w:val="55C3622E"/>
    <w:rsid w:val="55DC1770"/>
    <w:rsid w:val="55EB22AC"/>
    <w:rsid w:val="561133F2"/>
    <w:rsid w:val="563C00B7"/>
    <w:rsid w:val="56571FFA"/>
    <w:rsid w:val="56A92CC7"/>
    <w:rsid w:val="57272F01"/>
    <w:rsid w:val="574F5FDF"/>
    <w:rsid w:val="57DB3900"/>
    <w:rsid w:val="58A91278"/>
    <w:rsid w:val="58BD10F2"/>
    <w:rsid w:val="58CD33C2"/>
    <w:rsid w:val="592F2D81"/>
    <w:rsid w:val="59583222"/>
    <w:rsid w:val="596469D4"/>
    <w:rsid w:val="5A435D8A"/>
    <w:rsid w:val="5B0CF2D3"/>
    <w:rsid w:val="5B7B30F8"/>
    <w:rsid w:val="5BBC1D09"/>
    <w:rsid w:val="5BBE2B44"/>
    <w:rsid w:val="5C004D28"/>
    <w:rsid w:val="5C34380B"/>
    <w:rsid w:val="5CFC6999"/>
    <w:rsid w:val="5D0802FA"/>
    <w:rsid w:val="5D222968"/>
    <w:rsid w:val="5DEA3D06"/>
    <w:rsid w:val="5DF87281"/>
    <w:rsid w:val="5DFE0AB0"/>
    <w:rsid w:val="5EF77271"/>
    <w:rsid w:val="5F220E31"/>
    <w:rsid w:val="5F480904"/>
    <w:rsid w:val="5F855CBA"/>
    <w:rsid w:val="5F912AC4"/>
    <w:rsid w:val="5FAF36A8"/>
    <w:rsid w:val="5FD14724"/>
    <w:rsid w:val="60387705"/>
    <w:rsid w:val="60700F30"/>
    <w:rsid w:val="607B7DDA"/>
    <w:rsid w:val="616F4E8A"/>
    <w:rsid w:val="61812E22"/>
    <w:rsid w:val="61A246B1"/>
    <w:rsid w:val="61A76748"/>
    <w:rsid w:val="61C537A2"/>
    <w:rsid w:val="61F776E6"/>
    <w:rsid w:val="62B731FE"/>
    <w:rsid w:val="63023C80"/>
    <w:rsid w:val="636D3AA1"/>
    <w:rsid w:val="636E5628"/>
    <w:rsid w:val="63AB77C4"/>
    <w:rsid w:val="63EB0054"/>
    <w:rsid w:val="63ED0C43"/>
    <w:rsid w:val="64387823"/>
    <w:rsid w:val="643A375C"/>
    <w:rsid w:val="64F22548"/>
    <w:rsid w:val="656062CA"/>
    <w:rsid w:val="659106E2"/>
    <w:rsid w:val="65974B40"/>
    <w:rsid w:val="65AB236D"/>
    <w:rsid w:val="65B8080F"/>
    <w:rsid w:val="66483EC5"/>
    <w:rsid w:val="66704DB4"/>
    <w:rsid w:val="667A61CD"/>
    <w:rsid w:val="66CC3721"/>
    <w:rsid w:val="66FF3B3B"/>
    <w:rsid w:val="67102453"/>
    <w:rsid w:val="6722046A"/>
    <w:rsid w:val="67DF1E28"/>
    <w:rsid w:val="68377820"/>
    <w:rsid w:val="68A37B22"/>
    <w:rsid w:val="68A67F29"/>
    <w:rsid w:val="68B12367"/>
    <w:rsid w:val="68C15CCA"/>
    <w:rsid w:val="692D45F0"/>
    <w:rsid w:val="69366BE8"/>
    <w:rsid w:val="697D619C"/>
    <w:rsid w:val="69E80CC4"/>
    <w:rsid w:val="69EE3D79"/>
    <w:rsid w:val="6A026ACA"/>
    <w:rsid w:val="6A0E091D"/>
    <w:rsid w:val="6A9A31A7"/>
    <w:rsid w:val="6ABA50AD"/>
    <w:rsid w:val="6B58725B"/>
    <w:rsid w:val="6BA94127"/>
    <w:rsid w:val="6BFA140B"/>
    <w:rsid w:val="6BFE46EA"/>
    <w:rsid w:val="6C7F53F2"/>
    <w:rsid w:val="6C8B20CC"/>
    <w:rsid w:val="6C95A85E"/>
    <w:rsid w:val="6D3B4D9F"/>
    <w:rsid w:val="6D4713C4"/>
    <w:rsid w:val="6DB47A41"/>
    <w:rsid w:val="6E8E3022"/>
    <w:rsid w:val="6EA97E5C"/>
    <w:rsid w:val="6EAC586A"/>
    <w:rsid w:val="6F0B6BED"/>
    <w:rsid w:val="6F1ECFF8"/>
    <w:rsid w:val="6F6F4C02"/>
    <w:rsid w:val="700C41FF"/>
    <w:rsid w:val="704217E5"/>
    <w:rsid w:val="7047792D"/>
    <w:rsid w:val="70631C06"/>
    <w:rsid w:val="70B44CB5"/>
    <w:rsid w:val="71106C43"/>
    <w:rsid w:val="71152000"/>
    <w:rsid w:val="72062189"/>
    <w:rsid w:val="721756F7"/>
    <w:rsid w:val="7231680E"/>
    <w:rsid w:val="72677E12"/>
    <w:rsid w:val="72896870"/>
    <w:rsid w:val="728F244E"/>
    <w:rsid w:val="74B2788F"/>
    <w:rsid w:val="750872E0"/>
    <w:rsid w:val="7656661E"/>
    <w:rsid w:val="76D93925"/>
    <w:rsid w:val="76ED37EF"/>
    <w:rsid w:val="770F21D1"/>
    <w:rsid w:val="77530F62"/>
    <w:rsid w:val="77EF4493"/>
    <w:rsid w:val="783A3E0F"/>
    <w:rsid w:val="78A7019A"/>
    <w:rsid w:val="78C06712"/>
    <w:rsid w:val="796B51A8"/>
    <w:rsid w:val="79774661"/>
    <w:rsid w:val="79870D9A"/>
    <w:rsid w:val="79BA3B0E"/>
    <w:rsid w:val="7ABB6962"/>
    <w:rsid w:val="7AF4539C"/>
    <w:rsid w:val="7C013D85"/>
    <w:rsid w:val="7C2F8C70"/>
    <w:rsid w:val="7C4E0856"/>
    <w:rsid w:val="7C662C4B"/>
    <w:rsid w:val="7CF35D84"/>
    <w:rsid w:val="7DB40A20"/>
    <w:rsid w:val="7DDF36B2"/>
    <w:rsid w:val="7E136A50"/>
    <w:rsid w:val="7E49765A"/>
    <w:rsid w:val="7E4C0FEB"/>
    <w:rsid w:val="7E6F5852"/>
    <w:rsid w:val="7E813482"/>
    <w:rsid w:val="7EBB50F1"/>
    <w:rsid w:val="7EBB6D07"/>
    <w:rsid w:val="7EBE0C5A"/>
    <w:rsid w:val="7EE56270"/>
    <w:rsid w:val="7EFB3C47"/>
    <w:rsid w:val="7F7F569C"/>
    <w:rsid w:val="7F7F68A4"/>
    <w:rsid w:val="7F850ECB"/>
    <w:rsid w:val="7F9F166F"/>
    <w:rsid w:val="7F9F1736"/>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link w:val="58"/>
    <w:autoRedefine/>
    <w:qFormat/>
    <w:uiPriority w:val="0"/>
    <w:pPr>
      <w:keepNext/>
      <w:outlineLvl w:val="0"/>
    </w:pPr>
    <w:rPr>
      <w:sz w:val="28"/>
      <w:szCs w:val="24"/>
    </w:rPr>
  </w:style>
  <w:style w:type="paragraph" w:styleId="8">
    <w:name w:val="heading 2"/>
    <w:basedOn w:val="1"/>
    <w:next w:val="1"/>
    <w:link w:val="108"/>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9">
    <w:name w:val="heading 3"/>
    <w:basedOn w:val="1"/>
    <w:next w:val="1"/>
    <w:link w:val="60"/>
    <w:autoRedefine/>
    <w:qFormat/>
    <w:uiPriority w:val="0"/>
    <w:pPr>
      <w:keepNext/>
      <w:keepLines/>
      <w:spacing w:before="260" w:after="260" w:line="416" w:lineRule="auto"/>
      <w:outlineLvl w:val="2"/>
    </w:pPr>
    <w:rPr>
      <w:b/>
      <w:bCs/>
      <w:sz w:val="32"/>
      <w:szCs w:val="32"/>
      <w:lang w:val="zh-CN"/>
    </w:rPr>
  </w:style>
  <w:style w:type="paragraph" w:styleId="10">
    <w:name w:val="heading 4"/>
    <w:basedOn w:val="1"/>
    <w:next w:val="1"/>
    <w:link w:val="6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6"/>
    <w:autoRedefine/>
    <w:unhideWhenUsed/>
    <w:qFormat/>
    <w:uiPriority w:val="99"/>
    <w:pPr>
      <w:spacing w:line="400" w:lineRule="atLeast"/>
      <w:ind w:firstLine="426"/>
    </w:pPr>
    <w:rPr>
      <w:sz w:val="24"/>
      <w:szCs w:val="20"/>
    </w:rPr>
  </w:style>
  <w:style w:type="paragraph" w:styleId="3">
    <w:name w:val="Body Text"/>
    <w:basedOn w:val="1"/>
    <w:next w:val="4"/>
    <w:link w:val="74"/>
    <w:autoRedefine/>
    <w:qFormat/>
    <w:uiPriority w:val="0"/>
    <w:pPr>
      <w:spacing w:after="120"/>
    </w:pPr>
    <w:rPr>
      <w:szCs w:val="24"/>
    </w:rPr>
  </w:style>
  <w:style w:type="paragraph" w:customStyle="1" w:styleId="4">
    <w:name w:val="Default"/>
    <w:next w:val="5"/>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autoRedefine/>
    <w:qFormat/>
    <w:uiPriority w:val="0"/>
    <w:pPr>
      <w:spacing w:line="360" w:lineRule="exact"/>
      <w:jc w:val="center"/>
    </w:pPr>
    <w:rPr>
      <w:szCs w:val="20"/>
    </w:rPr>
  </w:style>
  <w:style w:type="paragraph" w:styleId="6">
    <w:name w:val="toc 6"/>
    <w:basedOn w:val="1"/>
    <w:next w:val="1"/>
    <w:autoRedefine/>
    <w:qFormat/>
    <w:uiPriority w:val="0"/>
    <w:pPr>
      <w:ind w:left="2100" w:leftChars="1000"/>
    </w:pPr>
  </w:style>
  <w:style w:type="paragraph" w:styleId="11">
    <w:name w:val="toc 7"/>
    <w:basedOn w:val="1"/>
    <w:next w:val="1"/>
    <w:autoRedefine/>
    <w:qFormat/>
    <w:uiPriority w:val="0"/>
    <w:pPr>
      <w:ind w:left="2520" w:leftChars="1200"/>
    </w:pPr>
  </w:style>
  <w:style w:type="paragraph" w:styleId="12">
    <w:name w:val="Document Map"/>
    <w:basedOn w:val="1"/>
    <w:link w:val="85"/>
    <w:autoRedefine/>
    <w:qFormat/>
    <w:uiPriority w:val="0"/>
    <w:pPr>
      <w:shd w:val="clear" w:color="auto" w:fill="000080"/>
    </w:pPr>
  </w:style>
  <w:style w:type="paragraph" w:styleId="13">
    <w:name w:val="toa heading"/>
    <w:basedOn w:val="1"/>
    <w:next w:val="1"/>
    <w:autoRedefine/>
    <w:qFormat/>
    <w:uiPriority w:val="0"/>
    <w:pPr>
      <w:spacing w:before="120"/>
    </w:pPr>
    <w:rPr>
      <w:sz w:val="24"/>
    </w:rPr>
  </w:style>
  <w:style w:type="paragraph" w:styleId="14">
    <w:name w:val="annotation text"/>
    <w:basedOn w:val="1"/>
    <w:link w:val="79"/>
    <w:autoRedefine/>
    <w:semiHidden/>
    <w:qFormat/>
    <w:uiPriority w:val="99"/>
    <w:pPr>
      <w:jc w:val="left"/>
    </w:pPr>
  </w:style>
  <w:style w:type="paragraph" w:styleId="15">
    <w:name w:val="Body Text 3"/>
    <w:basedOn w:val="1"/>
    <w:link w:val="100"/>
    <w:autoRedefine/>
    <w:unhideWhenUsed/>
    <w:qFormat/>
    <w:uiPriority w:val="99"/>
    <w:pPr>
      <w:spacing w:after="120"/>
    </w:pPr>
    <w:rPr>
      <w:rFonts w:ascii="Calibri" w:hAnsi="Calibri"/>
      <w:sz w:val="16"/>
      <w:szCs w:val="16"/>
      <w:lang w:val="zh-CN"/>
    </w:rPr>
  </w:style>
  <w:style w:type="paragraph" w:styleId="16">
    <w:name w:val="Body Text Indent"/>
    <w:basedOn w:val="1"/>
    <w:next w:val="17"/>
    <w:link w:val="63"/>
    <w:autoRedefine/>
    <w:qFormat/>
    <w:uiPriority w:val="0"/>
    <w:pPr>
      <w:ind w:firstLine="540"/>
    </w:pPr>
    <w:rPr>
      <w:rFonts w:eastAsia="仿宋_GB2312"/>
      <w:sz w:val="28"/>
    </w:rPr>
  </w:style>
  <w:style w:type="paragraph" w:styleId="17">
    <w:name w:val="envelope return"/>
    <w:basedOn w:val="1"/>
    <w:autoRedefine/>
    <w:qFormat/>
    <w:uiPriority w:val="0"/>
    <w:pPr>
      <w:snapToGrid w:val="0"/>
    </w:pPr>
    <w:rPr>
      <w:rFonts w:ascii="Arial" w:hAnsi="Arial"/>
    </w:rPr>
  </w:style>
  <w:style w:type="paragraph" w:styleId="18">
    <w:name w:val="toc 5"/>
    <w:basedOn w:val="1"/>
    <w:next w:val="1"/>
    <w:autoRedefine/>
    <w:qFormat/>
    <w:uiPriority w:val="0"/>
    <w:pPr>
      <w:ind w:left="1680" w:leftChars="800"/>
    </w:pPr>
  </w:style>
  <w:style w:type="paragraph" w:styleId="19">
    <w:name w:val="toc 3"/>
    <w:basedOn w:val="1"/>
    <w:next w:val="1"/>
    <w:autoRedefine/>
    <w:qFormat/>
    <w:uiPriority w:val="39"/>
    <w:pPr>
      <w:ind w:left="840" w:leftChars="400"/>
    </w:pPr>
  </w:style>
  <w:style w:type="paragraph" w:styleId="20">
    <w:name w:val="Plain Text"/>
    <w:basedOn w:val="1"/>
    <w:link w:val="82"/>
    <w:autoRedefine/>
    <w:qFormat/>
    <w:uiPriority w:val="0"/>
    <w:rPr>
      <w:rFonts w:ascii="宋体" w:hAnsi="Courier New" w:cstheme="minorBidi"/>
      <w:szCs w:val="22"/>
    </w:rPr>
  </w:style>
  <w:style w:type="paragraph" w:styleId="21">
    <w:name w:val="toc 8"/>
    <w:basedOn w:val="1"/>
    <w:next w:val="1"/>
    <w:autoRedefine/>
    <w:qFormat/>
    <w:uiPriority w:val="0"/>
    <w:pPr>
      <w:ind w:left="2940" w:leftChars="1400"/>
    </w:pPr>
  </w:style>
  <w:style w:type="paragraph" w:styleId="22">
    <w:name w:val="Date"/>
    <w:basedOn w:val="1"/>
    <w:next w:val="1"/>
    <w:link w:val="62"/>
    <w:autoRedefine/>
    <w:qFormat/>
    <w:uiPriority w:val="0"/>
    <w:rPr>
      <w:rFonts w:ascii="Arial" w:hAnsi="Arial" w:eastAsia="楷体_GB2312"/>
      <w:sz w:val="28"/>
    </w:rPr>
  </w:style>
  <w:style w:type="paragraph" w:styleId="23">
    <w:name w:val="Body Text Indent 2"/>
    <w:basedOn w:val="1"/>
    <w:link w:val="65"/>
    <w:autoRedefine/>
    <w:qFormat/>
    <w:uiPriority w:val="0"/>
    <w:pPr>
      <w:tabs>
        <w:tab w:val="left" w:pos="720"/>
      </w:tabs>
      <w:ind w:right="-506" w:rightChars="-241" w:firstLine="538" w:firstLineChars="192"/>
    </w:pPr>
    <w:rPr>
      <w:rFonts w:eastAsia="仿宋_GB2312"/>
      <w:sz w:val="28"/>
    </w:rPr>
  </w:style>
  <w:style w:type="paragraph" w:styleId="24">
    <w:name w:val="Balloon Text"/>
    <w:basedOn w:val="1"/>
    <w:link w:val="76"/>
    <w:autoRedefine/>
    <w:qFormat/>
    <w:uiPriority w:val="0"/>
    <w:rPr>
      <w:sz w:val="18"/>
      <w:szCs w:val="18"/>
    </w:rPr>
  </w:style>
  <w:style w:type="paragraph" w:styleId="25">
    <w:name w:val="footer"/>
    <w:basedOn w:val="1"/>
    <w:link w:val="57"/>
    <w:autoRedefine/>
    <w:unhideWhenUsed/>
    <w:qFormat/>
    <w:uiPriority w:val="99"/>
    <w:pPr>
      <w:tabs>
        <w:tab w:val="center" w:pos="4153"/>
        <w:tab w:val="right" w:pos="8306"/>
      </w:tabs>
      <w:snapToGrid w:val="0"/>
      <w:jc w:val="left"/>
    </w:pPr>
    <w:rPr>
      <w:sz w:val="18"/>
      <w:szCs w:val="18"/>
    </w:rPr>
  </w:style>
  <w:style w:type="paragraph" w:styleId="26">
    <w:name w:val="header"/>
    <w:basedOn w:val="1"/>
    <w:link w:val="5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style>
  <w:style w:type="paragraph" w:styleId="28">
    <w:name w:val="toc 4"/>
    <w:basedOn w:val="1"/>
    <w:next w:val="1"/>
    <w:autoRedefine/>
    <w:qFormat/>
    <w:uiPriority w:val="0"/>
    <w:pPr>
      <w:ind w:left="1260" w:leftChars="600"/>
    </w:pPr>
  </w:style>
  <w:style w:type="paragraph" w:styleId="29">
    <w:name w:val="Body Text Indent 3"/>
    <w:basedOn w:val="1"/>
    <w:link w:val="7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Body Text 2"/>
    <w:basedOn w:val="1"/>
    <w:autoRedefine/>
    <w:qFormat/>
    <w:uiPriority w:val="0"/>
    <w:pPr>
      <w:spacing w:after="120" w:afterLines="0" w:line="480" w:lineRule="auto"/>
    </w:pPr>
  </w:style>
  <w:style w:type="paragraph" w:styleId="33">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4">
    <w:name w:val="Normal (Web)"/>
    <w:basedOn w:val="1"/>
    <w:autoRedefine/>
    <w:unhideWhenUsed/>
    <w:qFormat/>
    <w:uiPriority w:val="99"/>
    <w:pPr>
      <w:jc w:val="left"/>
    </w:pPr>
    <w:rPr>
      <w:kern w:val="0"/>
      <w:sz w:val="24"/>
    </w:rPr>
  </w:style>
  <w:style w:type="paragraph" w:styleId="35">
    <w:name w:val="index 1"/>
    <w:basedOn w:val="1"/>
    <w:next w:val="1"/>
    <w:autoRedefine/>
    <w:semiHidden/>
    <w:qFormat/>
    <w:uiPriority w:val="0"/>
    <w:pPr>
      <w:jc w:val="center"/>
    </w:pPr>
    <w:rPr>
      <w:rFonts w:ascii="仿宋_GB2312" w:eastAsia="仿宋_GB2312"/>
      <w:b/>
      <w:bCs/>
      <w:sz w:val="28"/>
    </w:rPr>
  </w:style>
  <w:style w:type="paragraph" w:styleId="36">
    <w:name w:val="annotation subject"/>
    <w:basedOn w:val="14"/>
    <w:next w:val="14"/>
    <w:link w:val="80"/>
    <w:autoRedefine/>
    <w:semiHidden/>
    <w:qFormat/>
    <w:uiPriority w:val="99"/>
    <w:rPr>
      <w:b/>
      <w:bCs/>
    </w:rPr>
  </w:style>
  <w:style w:type="paragraph" w:styleId="37">
    <w:name w:val="Body Text First Indent 2"/>
    <w:basedOn w:val="16"/>
    <w:next w:val="2"/>
    <w:autoRedefine/>
    <w:qFormat/>
    <w:uiPriority w:val="0"/>
    <w:pPr>
      <w:spacing w:line="360" w:lineRule="auto"/>
      <w:ind w:firstLine="200" w:firstLineChars="200"/>
    </w:pPr>
    <w:rPr>
      <w:rFonts w:ascii="宋体" w:eastAsia="宋体"/>
      <w:sz w:val="21"/>
      <w:szCs w:val="20"/>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Emphasis"/>
    <w:basedOn w:val="40"/>
    <w:autoRedefine/>
    <w:qFormat/>
    <w:uiPriority w:val="20"/>
    <w:rPr>
      <w:b/>
      <w:bCs/>
    </w:rPr>
  </w:style>
  <w:style w:type="character" w:styleId="45">
    <w:name w:val="HTML Definition"/>
    <w:basedOn w:val="40"/>
    <w:autoRedefine/>
    <w:semiHidden/>
    <w:unhideWhenUsed/>
    <w:qFormat/>
    <w:uiPriority w:val="99"/>
  </w:style>
  <w:style w:type="character" w:styleId="46">
    <w:name w:val="HTML Typewriter"/>
    <w:basedOn w:val="40"/>
    <w:autoRedefine/>
    <w:semiHidden/>
    <w:unhideWhenUsed/>
    <w:qFormat/>
    <w:uiPriority w:val="99"/>
    <w:rPr>
      <w:rFonts w:hint="default" w:ascii="monospace" w:hAnsi="monospace" w:eastAsia="monospace" w:cs="monospace"/>
      <w:sz w:val="20"/>
    </w:rPr>
  </w:style>
  <w:style w:type="character" w:styleId="47">
    <w:name w:val="HTML Acronym"/>
    <w:basedOn w:val="40"/>
    <w:autoRedefine/>
    <w:semiHidden/>
    <w:unhideWhenUsed/>
    <w:qFormat/>
    <w:uiPriority w:val="99"/>
  </w:style>
  <w:style w:type="character" w:styleId="48">
    <w:name w:val="HTML Variable"/>
    <w:basedOn w:val="40"/>
    <w:autoRedefine/>
    <w:semiHidden/>
    <w:unhideWhenUsed/>
    <w:qFormat/>
    <w:uiPriority w:val="99"/>
  </w:style>
  <w:style w:type="character" w:styleId="49">
    <w:name w:val="Hyperlink"/>
    <w:basedOn w:val="40"/>
    <w:autoRedefine/>
    <w:qFormat/>
    <w:uiPriority w:val="99"/>
    <w:rPr>
      <w:color w:val="333333"/>
      <w:u w:val="none"/>
    </w:rPr>
  </w:style>
  <w:style w:type="character" w:styleId="50">
    <w:name w:val="HTML Code"/>
    <w:basedOn w:val="40"/>
    <w:autoRedefine/>
    <w:semiHidden/>
    <w:unhideWhenUsed/>
    <w:qFormat/>
    <w:uiPriority w:val="99"/>
    <w:rPr>
      <w:rFonts w:hint="default" w:ascii="monospace" w:hAnsi="monospace" w:eastAsia="monospace" w:cs="monospace"/>
      <w:sz w:val="20"/>
    </w:rPr>
  </w:style>
  <w:style w:type="character" w:styleId="51">
    <w:name w:val="annotation reference"/>
    <w:autoRedefine/>
    <w:semiHidden/>
    <w:qFormat/>
    <w:uiPriority w:val="99"/>
    <w:rPr>
      <w:sz w:val="21"/>
      <w:szCs w:val="21"/>
    </w:rPr>
  </w:style>
  <w:style w:type="character" w:styleId="52">
    <w:name w:val="HTML Cite"/>
    <w:basedOn w:val="40"/>
    <w:autoRedefine/>
    <w:semiHidden/>
    <w:unhideWhenUsed/>
    <w:qFormat/>
    <w:uiPriority w:val="99"/>
  </w:style>
  <w:style w:type="character" w:styleId="53">
    <w:name w:val="HTML Keyboard"/>
    <w:basedOn w:val="40"/>
    <w:autoRedefine/>
    <w:semiHidden/>
    <w:unhideWhenUsed/>
    <w:qFormat/>
    <w:uiPriority w:val="99"/>
    <w:rPr>
      <w:rFonts w:ascii="monospace" w:hAnsi="monospace" w:eastAsia="monospace" w:cs="monospace"/>
      <w:sz w:val="20"/>
    </w:rPr>
  </w:style>
  <w:style w:type="character" w:styleId="54">
    <w:name w:val="HTML Sample"/>
    <w:basedOn w:val="40"/>
    <w:autoRedefine/>
    <w:semiHidden/>
    <w:unhideWhenUsed/>
    <w:qFormat/>
    <w:uiPriority w:val="99"/>
    <w:rPr>
      <w:rFonts w:hint="default" w:ascii="monospace" w:hAnsi="monospace" w:eastAsia="monospace" w:cs="monospace"/>
    </w:rPr>
  </w:style>
  <w:style w:type="paragraph" w:customStyle="1" w:styleId="55">
    <w:name w:val="_Style 2"/>
    <w:basedOn w:val="1"/>
    <w:next w:val="1"/>
    <w:autoRedefine/>
    <w:qFormat/>
    <w:uiPriority w:val="99"/>
    <w:pPr>
      <w:ind w:firstLine="420" w:firstLineChars="200"/>
    </w:pPr>
  </w:style>
  <w:style w:type="character" w:customStyle="1" w:styleId="56">
    <w:name w:val="页眉 Char"/>
    <w:basedOn w:val="40"/>
    <w:link w:val="26"/>
    <w:autoRedefine/>
    <w:qFormat/>
    <w:uiPriority w:val="0"/>
    <w:rPr>
      <w:sz w:val="18"/>
      <w:szCs w:val="18"/>
    </w:rPr>
  </w:style>
  <w:style w:type="character" w:customStyle="1" w:styleId="57">
    <w:name w:val="页脚 Char"/>
    <w:basedOn w:val="40"/>
    <w:link w:val="25"/>
    <w:autoRedefine/>
    <w:qFormat/>
    <w:uiPriority w:val="99"/>
    <w:rPr>
      <w:sz w:val="18"/>
      <w:szCs w:val="18"/>
    </w:rPr>
  </w:style>
  <w:style w:type="character" w:customStyle="1" w:styleId="58">
    <w:name w:val="标题 1 Char"/>
    <w:basedOn w:val="40"/>
    <w:link w:val="7"/>
    <w:autoRedefine/>
    <w:qFormat/>
    <w:uiPriority w:val="0"/>
    <w:rPr>
      <w:rFonts w:ascii="Times New Roman" w:hAnsi="Times New Roman" w:eastAsia="宋体" w:cs="Times New Roman"/>
      <w:sz w:val="28"/>
      <w:szCs w:val="24"/>
    </w:rPr>
  </w:style>
  <w:style w:type="character" w:customStyle="1" w:styleId="59">
    <w:name w:val="标题 2 Char"/>
    <w:basedOn w:val="40"/>
    <w:autoRedefine/>
    <w:qFormat/>
    <w:uiPriority w:val="0"/>
    <w:rPr>
      <w:rFonts w:ascii="Arial" w:hAnsi="Arial" w:eastAsia="黑体" w:cs="Times New Roman"/>
      <w:b/>
      <w:kern w:val="0"/>
      <w:sz w:val="32"/>
      <w:szCs w:val="20"/>
    </w:rPr>
  </w:style>
  <w:style w:type="character" w:customStyle="1" w:styleId="60">
    <w:name w:val="标题 3 Char"/>
    <w:basedOn w:val="40"/>
    <w:link w:val="9"/>
    <w:autoRedefine/>
    <w:qFormat/>
    <w:uiPriority w:val="0"/>
    <w:rPr>
      <w:rFonts w:ascii="Times New Roman" w:hAnsi="Times New Roman" w:eastAsia="宋体" w:cs="Times New Roman"/>
      <w:b/>
      <w:bCs/>
      <w:sz w:val="32"/>
      <w:szCs w:val="32"/>
      <w:lang w:val="zh-CN" w:eastAsia="zh-CN"/>
    </w:rPr>
  </w:style>
  <w:style w:type="character" w:customStyle="1" w:styleId="61">
    <w:name w:val="标题 4 Char"/>
    <w:basedOn w:val="40"/>
    <w:link w:val="10"/>
    <w:autoRedefine/>
    <w:qFormat/>
    <w:uiPriority w:val="0"/>
    <w:rPr>
      <w:rFonts w:ascii="Arial" w:hAnsi="Arial" w:eastAsia="黑体" w:cs="Times New Roman"/>
      <w:b/>
      <w:kern w:val="0"/>
      <w:sz w:val="28"/>
      <w:szCs w:val="20"/>
    </w:rPr>
  </w:style>
  <w:style w:type="character" w:customStyle="1" w:styleId="62">
    <w:name w:val="日期 Char"/>
    <w:basedOn w:val="40"/>
    <w:link w:val="22"/>
    <w:autoRedefine/>
    <w:qFormat/>
    <w:uiPriority w:val="0"/>
    <w:rPr>
      <w:rFonts w:ascii="Arial" w:hAnsi="Arial" w:eastAsia="楷体_GB2312" w:cs="Times New Roman"/>
      <w:sz w:val="28"/>
      <w:szCs w:val="20"/>
    </w:rPr>
  </w:style>
  <w:style w:type="character" w:customStyle="1" w:styleId="63">
    <w:name w:val="正文文本缩进 Char"/>
    <w:basedOn w:val="40"/>
    <w:link w:val="16"/>
    <w:autoRedefine/>
    <w:qFormat/>
    <w:uiPriority w:val="0"/>
    <w:rPr>
      <w:rFonts w:ascii="Times New Roman" w:hAnsi="Times New Roman" w:eastAsia="仿宋_GB2312" w:cs="Times New Roman"/>
      <w:sz w:val="28"/>
      <w:szCs w:val="20"/>
    </w:rPr>
  </w:style>
  <w:style w:type="paragraph" w:customStyle="1" w:styleId="6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Char"/>
    <w:basedOn w:val="40"/>
    <w:link w:val="23"/>
    <w:autoRedefine/>
    <w:qFormat/>
    <w:uiPriority w:val="0"/>
    <w:rPr>
      <w:rFonts w:ascii="Times New Roman" w:hAnsi="Times New Roman" w:eastAsia="仿宋_GB2312" w:cs="Times New Roman"/>
      <w:sz w:val="28"/>
      <w:szCs w:val="20"/>
    </w:rPr>
  </w:style>
  <w:style w:type="paragraph" w:customStyle="1" w:styleId="6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8"/>
    <w:autoRedefine/>
    <w:qFormat/>
    <w:uiPriority w:val="0"/>
    <w:pPr>
      <w:spacing w:line="240" w:lineRule="auto"/>
    </w:pPr>
    <w:rPr>
      <w:rFonts w:ascii="宋体" w:hAnsi="宋体" w:eastAsia="宋体"/>
      <w:sz w:val="21"/>
    </w:rPr>
  </w:style>
  <w:style w:type="paragraph" w:customStyle="1" w:styleId="69">
    <w:name w:val="Char Char Char Char Char"/>
    <w:basedOn w:val="1"/>
    <w:autoRedefine/>
    <w:qFormat/>
    <w:uiPriority w:val="0"/>
    <w:rPr>
      <w:rFonts w:ascii="Tahoma" w:hAnsi="Tahoma"/>
      <w:sz w:val="24"/>
    </w:rPr>
  </w:style>
  <w:style w:type="paragraph" w:customStyle="1" w:styleId="70">
    <w:name w:val="Char"/>
    <w:basedOn w:val="1"/>
    <w:autoRedefine/>
    <w:qFormat/>
    <w:uiPriority w:val="0"/>
    <w:rPr>
      <w:rFonts w:ascii="Tahoma" w:hAnsi="Tahoma"/>
      <w:sz w:val="24"/>
    </w:rPr>
  </w:style>
  <w:style w:type="character" w:customStyle="1" w:styleId="71">
    <w:name w:val="正文文本缩进 3 Char"/>
    <w:basedOn w:val="40"/>
    <w:link w:val="29"/>
    <w:autoRedefine/>
    <w:qFormat/>
    <w:uiPriority w:val="0"/>
    <w:rPr>
      <w:rFonts w:ascii="仿宋_GB2312" w:hAnsi="Arial" w:eastAsia="仿宋_GB2312" w:cs="Times New Roman"/>
      <w:sz w:val="28"/>
      <w:szCs w:val="24"/>
    </w:rPr>
  </w:style>
  <w:style w:type="paragraph" w:customStyle="1" w:styleId="72">
    <w:name w:val="Char1"/>
    <w:basedOn w:val="1"/>
    <w:autoRedefine/>
    <w:qFormat/>
    <w:uiPriority w:val="0"/>
    <w:rPr>
      <w:rFonts w:ascii="Tahoma" w:hAnsi="Tahoma" w:eastAsia="仿宋_GB2312"/>
      <w:sz w:val="24"/>
    </w:rPr>
  </w:style>
  <w:style w:type="paragraph" w:customStyle="1" w:styleId="73">
    <w:name w:val="Char Char Char Char Char Char Char1 Char"/>
    <w:basedOn w:val="1"/>
    <w:autoRedefine/>
    <w:qFormat/>
    <w:uiPriority w:val="0"/>
    <w:rPr>
      <w:rFonts w:ascii="Tahoma" w:hAnsi="Tahoma"/>
      <w:sz w:val="24"/>
    </w:rPr>
  </w:style>
  <w:style w:type="character" w:customStyle="1" w:styleId="74">
    <w:name w:val="正文文本 Char"/>
    <w:basedOn w:val="40"/>
    <w:link w:val="3"/>
    <w:autoRedefine/>
    <w:qFormat/>
    <w:uiPriority w:val="0"/>
    <w:rPr>
      <w:rFonts w:ascii="Times New Roman" w:hAnsi="Times New Roman" w:eastAsia="宋体" w:cs="Times New Roman"/>
      <w:szCs w:val="24"/>
    </w:rPr>
  </w:style>
  <w:style w:type="paragraph" w:customStyle="1" w:styleId="75">
    <w:name w:val="Char Char Char Char"/>
    <w:basedOn w:val="1"/>
    <w:next w:val="1"/>
    <w:autoRedefine/>
    <w:qFormat/>
    <w:uiPriority w:val="0"/>
    <w:pPr>
      <w:widowControl/>
      <w:spacing w:line="360" w:lineRule="auto"/>
      <w:jc w:val="left"/>
    </w:pPr>
  </w:style>
  <w:style w:type="character" w:customStyle="1" w:styleId="76">
    <w:name w:val="批注框文本 Char"/>
    <w:basedOn w:val="40"/>
    <w:link w:val="24"/>
    <w:autoRedefine/>
    <w:qFormat/>
    <w:uiPriority w:val="0"/>
    <w:rPr>
      <w:rFonts w:ascii="Times New Roman" w:hAnsi="Times New Roman" w:eastAsia="宋体" w:cs="Times New Roman"/>
      <w:sz w:val="18"/>
      <w:szCs w:val="18"/>
    </w:rPr>
  </w:style>
  <w:style w:type="paragraph" w:customStyle="1" w:styleId="77">
    <w:name w:val="Char Char Char"/>
    <w:basedOn w:val="1"/>
    <w:autoRedefine/>
    <w:qFormat/>
    <w:uiPriority w:val="0"/>
    <w:rPr>
      <w:rFonts w:ascii="Tahoma" w:hAnsi="Tahoma"/>
      <w:sz w:val="24"/>
    </w:rPr>
  </w:style>
  <w:style w:type="paragraph" w:customStyle="1" w:styleId="78">
    <w:name w:val="Char Char Char Char Char Char Char Char Char Char"/>
    <w:basedOn w:val="1"/>
    <w:autoRedefine/>
    <w:qFormat/>
    <w:uiPriority w:val="0"/>
    <w:rPr>
      <w:rFonts w:ascii="Tahoma" w:hAnsi="Tahoma" w:cs="仿宋_GB2312"/>
      <w:sz w:val="24"/>
    </w:rPr>
  </w:style>
  <w:style w:type="character" w:customStyle="1" w:styleId="79">
    <w:name w:val="批注文字 Char"/>
    <w:basedOn w:val="40"/>
    <w:link w:val="14"/>
    <w:autoRedefine/>
    <w:semiHidden/>
    <w:qFormat/>
    <w:uiPriority w:val="99"/>
    <w:rPr>
      <w:rFonts w:ascii="Times New Roman" w:hAnsi="Times New Roman" w:eastAsia="宋体" w:cs="Times New Roman"/>
      <w:szCs w:val="20"/>
    </w:rPr>
  </w:style>
  <w:style w:type="character" w:customStyle="1" w:styleId="80">
    <w:name w:val="批注主题 Char"/>
    <w:basedOn w:val="79"/>
    <w:link w:val="36"/>
    <w:autoRedefine/>
    <w:semiHidden/>
    <w:qFormat/>
    <w:uiPriority w:val="99"/>
    <w:rPr>
      <w:rFonts w:ascii="Times New Roman" w:hAnsi="Times New Roman" w:eastAsia="宋体" w:cs="Times New Roman"/>
      <w:b/>
      <w:bCs/>
      <w:szCs w:val="20"/>
    </w:rPr>
  </w:style>
  <w:style w:type="paragraph" w:customStyle="1" w:styleId="81">
    <w:name w:val="Char Char Char Char Char Char"/>
    <w:basedOn w:val="1"/>
    <w:autoRedefine/>
    <w:qFormat/>
    <w:uiPriority w:val="0"/>
  </w:style>
  <w:style w:type="character" w:customStyle="1" w:styleId="82">
    <w:name w:val="纯文本 Char"/>
    <w:link w:val="20"/>
    <w:autoRedefine/>
    <w:qFormat/>
    <w:uiPriority w:val="0"/>
    <w:rPr>
      <w:rFonts w:ascii="宋体" w:hAnsi="Courier New" w:eastAsia="宋体"/>
    </w:rPr>
  </w:style>
  <w:style w:type="character" w:customStyle="1" w:styleId="83">
    <w:name w:val="纯文本 Char1"/>
    <w:basedOn w:val="40"/>
    <w:autoRedefine/>
    <w:semiHidden/>
    <w:qFormat/>
    <w:uiPriority w:val="99"/>
    <w:rPr>
      <w:rFonts w:ascii="宋体" w:hAnsi="Courier New" w:eastAsia="宋体" w:cs="Courier New"/>
      <w:szCs w:val="21"/>
    </w:rPr>
  </w:style>
  <w:style w:type="paragraph" w:customStyle="1" w:styleId="84">
    <w:name w:val="Char12 Char Char Char"/>
    <w:basedOn w:val="1"/>
    <w:autoRedefine/>
    <w:qFormat/>
    <w:uiPriority w:val="0"/>
  </w:style>
  <w:style w:type="character" w:customStyle="1" w:styleId="85">
    <w:name w:val="文档结构图 Char"/>
    <w:basedOn w:val="40"/>
    <w:link w:val="12"/>
    <w:autoRedefine/>
    <w:qFormat/>
    <w:uiPriority w:val="0"/>
    <w:rPr>
      <w:rFonts w:ascii="Times New Roman" w:hAnsi="Times New Roman" w:eastAsia="宋体" w:cs="Times New Roman"/>
      <w:szCs w:val="20"/>
      <w:shd w:val="clear" w:color="auto" w:fill="000080"/>
    </w:rPr>
  </w:style>
  <w:style w:type="character" w:customStyle="1" w:styleId="86">
    <w:name w:val="style29"/>
    <w:autoRedefine/>
    <w:qFormat/>
    <w:uiPriority w:val="0"/>
  </w:style>
  <w:style w:type="character" w:customStyle="1" w:styleId="87">
    <w:name w:val="正文1"/>
    <w:autoRedefine/>
    <w:qFormat/>
    <w:uiPriority w:val="0"/>
  </w:style>
  <w:style w:type="character" w:customStyle="1" w:styleId="88">
    <w:name w:val="font11"/>
    <w:autoRedefine/>
    <w:qFormat/>
    <w:uiPriority w:val="0"/>
    <w:rPr>
      <w:rFonts w:hint="default" w:ascii="Times New Roman" w:hAnsi="Times New Roman" w:cs="Times New Roman"/>
      <w:color w:val="3366FF"/>
      <w:sz w:val="24"/>
      <w:szCs w:val="24"/>
      <w:u w:val="none"/>
    </w:rPr>
  </w:style>
  <w:style w:type="character" w:customStyle="1" w:styleId="89">
    <w:name w:val="font21"/>
    <w:autoRedefine/>
    <w:qFormat/>
    <w:uiPriority w:val="0"/>
    <w:rPr>
      <w:rFonts w:hint="eastAsia" w:ascii="宋体" w:hAnsi="宋体" w:eastAsia="宋体"/>
      <w:color w:val="3366FF"/>
      <w:sz w:val="24"/>
      <w:szCs w:val="24"/>
      <w:u w:val="none"/>
    </w:rPr>
  </w:style>
  <w:style w:type="paragraph" w:customStyle="1" w:styleId="90">
    <w:name w:val="Char Char15"/>
    <w:basedOn w:val="1"/>
    <w:autoRedefine/>
    <w:qFormat/>
    <w:uiPriority w:val="0"/>
    <w:rPr>
      <w:rFonts w:ascii="Tahoma" w:hAnsi="Tahoma" w:eastAsia="仿宋_GB2312"/>
      <w:sz w:val="24"/>
    </w:rPr>
  </w:style>
  <w:style w:type="paragraph" w:customStyle="1" w:styleId="91">
    <w:name w:val="列出段落1"/>
    <w:basedOn w:val="1"/>
    <w:autoRedefine/>
    <w:qFormat/>
    <w:uiPriority w:val="0"/>
    <w:pPr>
      <w:ind w:firstLine="420" w:firstLineChars="200"/>
    </w:pPr>
    <w:rPr>
      <w:rFonts w:ascii="Calibri" w:hAnsi="Calibri"/>
      <w:szCs w:val="22"/>
    </w:rPr>
  </w:style>
  <w:style w:type="paragraph" w:customStyle="1" w:styleId="92">
    <w:name w:val="Char2"/>
    <w:basedOn w:val="1"/>
    <w:autoRedefine/>
    <w:qFormat/>
    <w:uiPriority w:val="0"/>
    <w:pPr>
      <w:tabs>
        <w:tab w:val="left" w:pos="360"/>
      </w:tabs>
    </w:pPr>
    <w:rPr>
      <w:sz w:val="24"/>
      <w:szCs w:val="24"/>
    </w:rPr>
  </w:style>
  <w:style w:type="paragraph" w:customStyle="1" w:styleId="93">
    <w:name w:val="Char16"/>
    <w:basedOn w:val="1"/>
    <w:autoRedefine/>
    <w:qFormat/>
    <w:uiPriority w:val="0"/>
    <w:rPr>
      <w:rFonts w:ascii="Tahoma" w:hAnsi="Tahoma" w:eastAsia="仿宋_GB2312"/>
      <w:sz w:val="24"/>
    </w:rPr>
  </w:style>
  <w:style w:type="paragraph" w:customStyle="1" w:styleId="94">
    <w:name w:val="Char Char1"/>
    <w:basedOn w:val="1"/>
    <w:autoRedefine/>
    <w:qFormat/>
    <w:uiPriority w:val="0"/>
    <w:rPr>
      <w:rFonts w:ascii="Tahoma" w:hAnsi="Tahoma"/>
      <w:sz w:val="24"/>
    </w:rPr>
  </w:style>
  <w:style w:type="paragraph" w:customStyle="1" w:styleId="95">
    <w:name w:val="Char Char Char Char Char Char Char"/>
    <w:basedOn w:val="1"/>
    <w:autoRedefine/>
    <w:qFormat/>
    <w:uiPriority w:val="0"/>
    <w:rPr>
      <w:szCs w:val="24"/>
    </w:rPr>
  </w:style>
  <w:style w:type="paragraph" w:customStyle="1" w:styleId="96">
    <w:name w:val="Char Char"/>
    <w:basedOn w:val="1"/>
    <w:autoRedefine/>
    <w:qFormat/>
    <w:uiPriority w:val="0"/>
    <w:rPr>
      <w:rFonts w:ascii="Tahoma" w:hAnsi="Tahoma" w:cs="仿宋_GB2312"/>
      <w:sz w:val="24"/>
    </w:rPr>
  </w:style>
  <w:style w:type="paragraph" w:customStyle="1" w:styleId="97">
    <w:name w:val="Char Char2"/>
    <w:basedOn w:val="1"/>
    <w:autoRedefine/>
    <w:qFormat/>
    <w:uiPriority w:val="0"/>
    <w:rPr>
      <w:rFonts w:ascii="Tahoma" w:hAnsi="Tahoma" w:cs="仿宋_GB2312"/>
      <w:sz w:val="24"/>
    </w:rPr>
  </w:style>
  <w:style w:type="paragraph" w:customStyle="1" w:styleId="98">
    <w:name w:val="Char Char Char1"/>
    <w:basedOn w:val="1"/>
    <w:autoRedefine/>
    <w:qFormat/>
    <w:uiPriority w:val="0"/>
    <w:rPr>
      <w:rFonts w:ascii="Tahoma" w:hAnsi="Tahoma"/>
      <w:sz w:val="24"/>
    </w:rPr>
  </w:style>
  <w:style w:type="paragraph" w:customStyle="1" w:styleId="99">
    <w:name w:val="D&amp;L"/>
    <w:basedOn w:val="26"/>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100">
    <w:name w:val="正文文本 3 Char"/>
    <w:basedOn w:val="40"/>
    <w:link w:val="15"/>
    <w:autoRedefine/>
    <w:qFormat/>
    <w:uiPriority w:val="99"/>
    <w:rPr>
      <w:rFonts w:ascii="Calibri" w:hAnsi="Calibri" w:eastAsia="宋体" w:cs="Times New Roman"/>
      <w:sz w:val="16"/>
      <w:szCs w:val="16"/>
      <w:lang w:val="zh-CN" w:eastAsia="zh-CN"/>
    </w:rPr>
  </w:style>
  <w:style w:type="paragraph" w:customStyle="1" w:styleId="10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0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3">
    <w:name w:val="style23"/>
    <w:autoRedefine/>
    <w:qFormat/>
    <w:uiPriority w:val="0"/>
    <w:rPr>
      <w:rFonts w:ascii="Times New Roman" w:hAnsi="Times New Roman" w:eastAsia="宋体"/>
    </w:rPr>
  </w:style>
  <w:style w:type="paragraph" w:customStyle="1" w:styleId="104">
    <w:name w:val="p0"/>
    <w:basedOn w:val="1"/>
    <w:autoRedefine/>
    <w:qFormat/>
    <w:uiPriority w:val="0"/>
    <w:pPr>
      <w:widowControl/>
      <w:jc w:val="left"/>
    </w:pPr>
    <w:rPr>
      <w:rFonts w:ascii="等线" w:hAnsi="等线" w:eastAsia="等线" w:cs="等线"/>
      <w:kern w:val="0"/>
      <w:sz w:val="20"/>
      <w:szCs w:val="22"/>
    </w:rPr>
  </w:style>
  <w:style w:type="paragraph" w:customStyle="1" w:styleId="105">
    <w:name w:val="列表段落1"/>
    <w:basedOn w:val="1"/>
    <w:autoRedefine/>
    <w:qFormat/>
    <w:uiPriority w:val="34"/>
    <w:pPr>
      <w:ind w:firstLine="420" w:firstLineChars="200"/>
    </w:pPr>
    <w:rPr>
      <w:szCs w:val="24"/>
    </w:rPr>
  </w:style>
  <w:style w:type="paragraph" w:customStyle="1" w:styleId="106">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107">
    <w:name w:val="Table Paragraph"/>
    <w:basedOn w:val="1"/>
    <w:autoRedefine/>
    <w:qFormat/>
    <w:uiPriority w:val="1"/>
  </w:style>
  <w:style w:type="character" w:customStyle="1" w:styleId="108">
    <w:name w:val="标题 2 Char1"/>
    <w:link w:val="8"/>
    <w:autoRedefine/>
    <w:qFormat/>
    <w:uiPriority w:val="0"/>
    <w:rPr>
      <w:rFonts w:ascii="Arial" w:hAnsi="Arial" w:eastAsia="黑体"/>
      <w:b/>
      <w:bCs/>
      <w:sz w:val="32"/>
      <w:szCs w:val="32"/>
    </w:rPr>
  </w:style>
  <w:style w:type="paragraph" w:styleId="109">
    <w:name w:val="List Paragraph"/>
    <w:basedOn w:val="1"/>
    <w:autoRedefine/>
    <w:qFormat/>
    <w:uiPriority w:val="99"/>
    <w:pPr>
      <w:ind w:firstLine="420" w:firstLineChars="200"/>
    </w:pPr>
  </w:style>
  <w:style w:type="table" w:customStyle="1" w:styleId="110">
    <w:name w:val="Table Normal"/>
    <w:autoRedefine/>
    <w:semiHidden/>
    <w:unhideWhenUsed/>
    <w:qFormat/>
    <w:uiPriority w:val="0"/>
    <w:rPr>
      <w:rFonts w:ascii="Arial" w:hAnsi="Arial" w:cs="Arial"/>
    </w:rPr>
    <w:tblPr>
      <w:tblCellMar>
        <w:top w:w="0" w:type="dxa"/>
        <w:left w:w="0" w:type="dxa"/>
        <w:bottom w:w="0" w:type="dxa"/>
        <w:right w:w="0" w:type="dxa"/>
      </w:tblCellMar>
    </w:tblPr>
  </w:style>
  <w:style w:type="character" w:customStyle="1" w:styleId="111">
    <w:name w:val="first-child"/>
    <w:basedOn w:val="40"/>
    <w:autoRedefine/>
    <w:qFormat/>
    <w:uiPriority w:val="0"/>
  </w:style>
  <w:style w:type="character" w:customStyle="1" w:styleId="112">
    <w:name w:val="layui-this"/>
    <w:basedOn w:val="40"/>
    <w:autoRedefine/>
    <w:qFormat/>
    <w:uiPriority w:val="0"/>
    <w:rPr>
      <w:bdr w:val="single" w:color="EEEEEE" w:sz="6" w:space="0"/>
      <w:shd w:val="clear" w:fill="FFFFFF"/>
    </w:rPr>
  </w:style>
  <w:style w:type="character" w:customStyle="1" w:styleId="113">
    <w:name w:val="hover"/>
    <w:basedOn w:val="40"/>
    <w:autoRedefine/>
    <w:qFormat/>
    <w:uiPriority w:val="0"/>
    <w:rPr>
      <w:u w:val="single"/>
    </w:rPr>
  </w:style>
  <w:style w:type="character" w:customStyle="1" w:styleId="114">
    <w:name w:val="bsharetext"/>
    <w:basedOn w:val="40"/>
    <w:autoRedefine/>
    <w:qFormat/>
    <w:uiPriority w:val="0"/>
  </w:style>
  <w:style w:type="character" w:customStyle="1" w:styleId="115">
    <w:name w:val="time"/>
    <w:basedOn w:val="40"/>
    <w:autoRedefine/>
    <w:qFormat/>
    <w:uiPriority w:val="0"/>
  </w:style>
  <w:style w:type="character" w:customStyle="1" w:styleId="116">
    <w:name w:val="status"/>
    <w:basedOn w:val="40"/>
    <w:autoRedefine/>
    <w:qFormat/>
    <w:uiPriority w:val="0"/>
    <w:rPr>
      <w:color w:val="0776DD"/>
    </w:rPr>
  </w:style>
  <w:style w:type="character" w:customStyle="1" w:styleId="117">
    <w:name w:val="mini-outputtext1"/>
    <w:basedOn w:val="40"/>
    <w:autoRedefine/>
    <w:qFormat/>
    <w:uiPriority w:val="0"/>
  </w:style>
  <w:style w:type="paragraph" w:customStyle="1" w:styleId="118">
    <w:name w:val="Table Text"/>
    <w:basedOn w:val="1"/>
    <w:autoRedefine/>
    <w:semiHidden/>
    <w:qFormat/>
    <w:uiPriority w:val="0"/>
    <w:rPr>
      <w:rFonts w:ascii="宋体" w:hAnsi="宋体" w:eastAsia="宋体" w:cs="宋体"/>
      <w:sz w:val="24"/>
      <w:szCs w:val="24"/>
      <w:lang w:val="en-US" w:eastAsia="en-US" w:bidi="ar-SA"/>
    </w:rPr>
  </w:style>
  <w:style w:type="paragraph" w:customStyle="1" w:styleId="119">
    <w:name w:val="样式2"/>
    <w:basedOn w:val="1"/>
    <w:autoRedefine/>
    <w:qFormat/>
    <w:uiPriority w:val="0"/>
    <w:rPr>
      <w:rFonts w:ascii="Times New Roman" w:hAnsi="Times New Roman"/>
    </w:rPr>
  </w:style>
  <w:style w:type="paragraph" w:customStyle="1" w:styleId="120">
    <w:name w:val="Body text|3"/>
    <w:basedOn w:val="1"/>
    <w:autoRedefine/>
    <w:qFormat/>
    <w:uiPriority w:val="0"/>
    <w:pPr>
      <w:spacing w:line="681" w:lineRule="exact"/>
      <w:ind w:left="380" w:firstLine="20"/>
    </w:pPr>
    <w:rPr>
      <w:rFonts w:ascii="宋体" w:hAnsi="宋体" w:cs="宋体"/>
      <w:sz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14470</Words>
  <Characters>15078</Characters>
  <Lines>177</Lines>
  <Paragraphs>49</Paragraphs>
  <TotalTime>4</TotalTime>
  <ScaleCrop>false</ScaleCrop>
  <LinksUpToDate>false</LinksUpToDate>
  <CharactersWithSpaces>16256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吴丹</cp:lastModifiedBy>
  <cp:lastPrinted>2024-01-09T01:34:00Z</cp:lastPrinted>
  <dcterms:modified xsi:type="dcterms:W3CDTF">2024-03-04T01:48:48Z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10A124244A2745869BD5C2A3CA15E603_13</vt:lpwstr>
  </property>
</Properties>
</file>