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0"/>
          <w:szCs w:val="40"/>
          <w:lang w:eastAsia="zh-CN"/>
        </w:rPr>
      </w:pPr>
    </w:p>
    <w:p>
      <w:pPr>
        <w:pStyle w:val="30"/>
        <w:jc w:val="center"/>
      </w:pPr>
      <w:r>
        <w:rPr>
          <w:rFonts w:hint="eastAsia" w:ascii="宋体" w:hAnsi="宋体"/>
          <w:b/>
          <w:sz w:val="40"/>
          <w:szCs w:val="40"/>
          <w:lang w:eastAsia="zh-CN"/>
        </w:rPr>
        <w:t>圣人山村种植大棚修复工程</w:t>
      </w: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hAnsi="宋体"/>
          <w:b/>
          <w:sz w:val="52"/>
          <w:szCs w:val="52"/>
        </w:rPr>
      </w:pPr>
      <w:r>
        <w:rPr>
          <w:rFonts w:hint="eastAsia" w:ascii="宋体" w:hAnsi="宋体"/>
          <w:b/>
          <w:sz w:val="52"/>
          <w:szCs w:val="52"/>
        </w:rPr>
        <w:t>谈</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判</w:t>
      </w:r>
    </w:p>
    <w:p>
      <w:pPr>
        <w:pStyle w:val="2"/>
      </w:pPr>
    </w:p>
    <w:p>
      <w:pPr>
        <w:jc w:val="center"/>
        <w:rPr>
          <w:rFonts w:ascii="宋体" w:hAnsi="宋体"/>
          <w:b/>
          <w:sz w:val="52"/>
          <w:szCs w:val="52"/>
        </w:rPr>
      </w:pPr>
      <w:r>
        <w:rPr>
          <w:rFonts w:hint="eastAsia" w:ascii="宋体" w:hAnsi="宋体"/>
          <w:b/>
          <w:sz w:val="52"/>
          <w:szCs w:val="52"/>
        </w:rPr>
        <w:t>文</w:t>
      </w:r>
    </w:p>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件</w:t>
      </w:r>
    </w:p>
    <w:p>
      <w:pPr>
        <w:spacing w:line="400" w:lineRule="exact"/>
        <w:ind w:firstLine="2570" w:firstLineChars="800"/>
        <w:rPr>
          <w:rFonts w:hint="eastAsia" w:ascii="宋体" w:hAnsi="宋体"/>
          <w:b/>
          <w:sz w:val="32"/>
          <w:szCs w:val="15"/>
          <w:lang w:val="en-US" w:eastAsia="zh-CN"/>
        </w:rPr>
      </w:pPr>
    </w:p>
    <w:p>
      <w:pPr>
        <w:spacing w:line="400" w:lineRule="exact"/>
        <w:ind w:firstLine="2560" w:firstLineChars="800"/>
        <w:rPr>
          <w:rFonts w:hint="default" w:ascii="宋体" w:hAnsi="宋体" w:eastAsia="宋体"/>
          <w:b w:val="0"/>
          <w:bCs/>
          <w:sz w:val="41"/>
          <w:lang w:val="en-US" w:eastAsia="zh-CN"/>
        </w:rPr>
      </w:pPr>
      <w:r>
        <w:rPr>
          <w:rFonts w:hint="eastAsia" w:ascii="宋体" w:hAnsi="宋体"/>
          <w:b w:val="0"/>
          <w:bCs/>
          <w:sz w:val="32"/>
          <w:szCs w:val="15"/>
          <w:lang w:val="en-US" w:eastAsia="zh-CN"/>
        </w:rPr>
        <w:t>项目编号：HSYD-2024-0303</w:t>
      </w:r>
      <w:r>
        <w:rPr>
          <w:rFonts w:hint="eastAsia" w:ascii="宋体" w:hAnsi="宋体" w:eastAsia="宋体"/>
          <w:b w:val="0"/>
          <w:bCs/>
          <w:sz w:val="32"/>
          <w:szCs w:val="15"/>
          <w:lang w:val="en-US" w:eastAsia="zh-CN"/>
        </w:rPr>
        <w:t xml:space="preserve"> </w:t>
      </w:r>
    </w:p>
    <w:p>
      <w:pPr>
        <w:spacing w:line="400" w:lineRule="exact"/>
        <w:rPr>
          <w:rFonts w:ascii="宋体" w:hAnsi="宋体"/>
        </w:rPr>
      </w:pPr>
    </w:p>
    <w:p>
      <w:pPr>
        <w:spacing w:line="400" w:lineRule="exact"/>
        <w:rPr>
          <w:rFonts w:ascii="仿宋" w:hAnsi="仿宋" w:eastAsia="仿宋" w:cs="仿宋"/>
          <w:sz w:val="32"/>
          <w:szCs w:val="32"/>
        </w:rPr>
      </w:pPr>
    </w:p>
    <w:p>
      <w:pPr>
        <w:spacing w:line="400" w:lineRule="exact"/>
        <w:rPr>
          <w:rFonts w:ascii="仿宋" w:hAnsi="仿宋" w:eastAsia="仿宋" w:cs="仿宋"/>
          <w:sz w:val="32"/>
          <w:szCs w:val="32"/>
        </w:rPr>
      </w:pPr>
    </w:p>
    <w:p>
      <w:pPr>
        <w:spacing w:line="360" w:lineRule="auto"/>
        <w:jc w:val="center"/>
        <w:rPr>
          <w:rFonts w:hint="eastAsia" w:ascii="宋体" w:hAnsi="宋体" w:cs="宋体"/>
          <w:b/>
          <w:bCs/>
          <w:color w:val="auto"/>
          <w:sz w:val="32"/>
          <w:szCs w:val="32"/>
          <w:lang w:eastAsia="zh-CN"/>
        </w:rPr>
      </w:pPr>
      <w:r>
        <w:rPr>
          <w:rFonts w:hint="eastAsia" w:ascii="宋体" w:hAnsi="宋体" w:cs="宋体"/>
          <w:b/>
          <w:bCs/>
          <w:color w:val="auto"/>
          <w:sz w:val="32"/>
          <w:szCs w:val="32"/>
          <w:lang w:val="en-US" w:eastAsia="zh-CN"/>
        </w:rPr>
        <w:t xml:space="preserve">   采 购 </w:t>
      </w:r>
      <w:r>
        <w:rPr>
          <w:rFonts w:hint="eastAsia" w:ascii="宋体" w:hAnsi="宋体" w:cs="宋体"/>
          <w:b/>
          <w:bCs/>
          <w:color w:val="auto"/>
          <w:sz w:val="32"/>
          <w:szCs w:val="32"/>
        </w:rPr>
        <w:t>人：</w:t>
      </w:r>
      <w:r>
        <w:rPr>
          <w:rFonts w:hint="eastAsia" w:ascii="宋体" w:hAnsi="宋体" w:cs="宋体"/>
          <w:b/>
          <w:bCs/>
          <w:color w:val="auto"/>
          <w:sz w:val="32"/>
          <w:szCs w:val="32"/>
          <w:lang w:eastAsia="zh-CN"/>
        </w:rPr>
        <w:t>霍山县下符桥镇人民政府</w:t>
      </w:r>
    </w:p>
    <w:p>
      <w:pPr>
        <w:spacing w:line="360" w:lineRule="auto"/>
        <w:ind w:firstLine="2570" w:firstLineChars="800"/>
        <w:rPr>
          <w:rFonts w:hint="eastAsia" w:ascii="宋体" w:hAnsi="宋体" w:eastAsia="宋体" w:cs="宋体"/>
          <w:b/>
          <w:bCs/>
          <w:color w:val="auto"/>
          <w:lang w:eastAsia="zh-CN"/>
        </w:rPr>
      </w:pPr>
      <w:r>
        <w:rPr>
          <w:rFonts w:hint="eastAsia" w:ascii="宋体" w:hAnsi="宋体" w:cs="宋体"/>
          <w:b/>
          <w:bCs/>
          <w:color w:val="auto"/>
          <w:sz w:val="32"/>
          <w:szCs w:val="32"/>
          <w:lang w:val="en-US" w:eastAsia="zh-CN"/>
        </w:rPr>
        <w:t>代理机构</w:t>
      </w:r>
      <w:r>
        <w:rPr>
          <w:rFonts w:hint="eastAsia" w:ascii="宋体" w:hAnsi="宋体" w:cs="宋体"/>
          <w:b/>
          <w:bCs/>
          <w:color w:val="auto"/>
          <w:sz w:val="32"/>
          <w:szCs w:val="32"/>
        </w:rPr>
        <w:t>：</w:t>
      </w:r>
      <w:r>
        <w:rPr>
          <w:rFonts w:hint="eastAsia" w:ascii="宋体" w:hAnsi="宋体" w:cs="宋体"/>
          <w:b/>
          <w:bCs/>
          <w:color w:val="auto"/>
          <w:sz w:val="32"/>
          <w:szCs w:val="32"/>
          <w:lang w:eastAsia="zh-CN"/>
        </w:rPr>
        <w:t>霍山永达工程咨询有限公司</w:t>
      </w:r>
    </w:p>
    <w:p>
      <w:pPr>
        <w:spacing w:line="360" w:lineRule="auto"/>
        <w:ind w:firstLine="2570" w:firstLineChars="800"/>
        <w:rPr>
          <w:rFonts w:ascii="仿宋" w:hAnsi="仿宋" w:eastAsia="仿宋" w:cs="仿宋"/>
          <w:sz w:val="32"/>
          <w:szCs w:val="32"/>
        </w:rPr>
      </w:pPr>
      <w:r>
        <w:rPr>
          <w:rFonts w:hint="eastAsia" w:ascii="宋体" w:hAnsi="宋体" w:cs="宋体"/>
          <w:b/>
          <w:bCs/>
          <w:color w:val="auto"/>
          <w:sz w:val="32"/>
          <w:szCs w:val="32"/>
        </w:rPr>
        <w:t>发布日期：202</w:t>
      </w:r>
      <w:r>
        <w:rPr>
          <w:rFonts w:hint="eastAsia" w:ascii="宋体" w:hAnsi="宋体" w:cs="宋体"/>
          <w:b/>
          <w:bCs/>
          <w:color w:val="auto"/>
          <w:sz w:val="32"/>
          <w:szCs w:val="32"/>
          <w:lang w:val="en-US" w:eastAsia="zh-CN"/>
        </w:rPr>
        <w:t>4</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3</w:t>
      </w:r>
      <w:r>
        <w:rPr>
          <w:rFonts w:hint="eastAsia" w:ascii="宋体" w:hAnsi="宋体" w:cs="宋体"/>
          <w:b/>
          <w:bCs/>
          <w:color w:val="auto"/>
          <w:sz w:val="32"/>
          <w:szCs w:val="32"/>
        </w:rPr>
        <w:t>月</w:t>
      </w:r>
      <w:r>
        <w:rPr>
          <w:rFonts w:hint="eastAsia" w:ascii="宋体" w:hAnsi="宋体" w:cs="宋体"/>
          <w:b/>
          <w:bCs/>
          <w:color w:val="0000FF"/>
          <w:sz w:val="32"/>
          <w:szCs w:val="32"/>
        </w:rPr>
        <w:t xml:space="preserve"> </w:t>
      </w:r>
      <w:r>
        <w:rPr>
          <w:rFonts w:hint="eastAsia" w:ascii="宋体" w:hAnsi="宋体" w:cs="宋体"/>
          <w:color w:val="0000FF"/>
          <w:sz w:val="32"/>
          <w:szCs w:val="32"/>
        </w:rPr>
        <w:t xml:space="preserve">   </w:t>
      </w:r>
      <w:r>
        <w:rPr>
          <w:rFonts w:hint="eastAsia" w:ascii="仿宋" w:hAnsi="仿宋" w:eastAsia="仿宋" w:cs="仿宋"/>
          <w:sz w:val="32"/>
          <w:szCs w:val="32"/>
        </w:rPr>
        <w:t xml:space="preserve">   </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28964"/>
      <w:bookmarkStart w:id="1" w:name="_Toc30186"/>
      <w:bookmarkStart w:id="2" w:name="_Toc216158623"/>
      <w:bookmarkStart w:id="3" w:name="_Toc363199264"/>
    </w:p>
    <w:p>
      <w:pPr>
        <w:pStyle w:val="6"/>
        <w:spacing w:before="156" w:beforeLines="50" w:after="156" w:afterLines="50" w:line="520" w:lineRule="exact"/>
        <w:jc w:val="center"/>
        <w:rPr>
          <w:rFonts w:hint="eastAsia" w:ascii="仿宋" w:hAnsi="仿宋" w:eastAsia="仿宋" w:cs="仿宋"/>
          <w:b w:val="0"/>
          <w:kern w:val="2"/>
          <w:sz w:val="28"/>
          <w:szCs w:val="28"/>
          <w:lang w:val="en-US" w:eastAsia="zh-CN" w:bidi="ar-SA"/>
        </w:rPr>
      </w:pPr>
      <w:bookmarkStart w:id="108" w:name="_GoBack"/>
      <w:r>
        <w:rPr>
          <w:rFonts w:hint="eastAsia" w:ascii="仿宋" w:hAnsi="仿宋" w:eastAsia="仿宋" w:cs="仿宋"/>
          <w:b w:val="0"/>
          <w:kern w:val="2"/>
          <w:sz w:val="28"/>
          <w:szCs w:val="28"/>
          <w:lang w:val="en-US" w:eastAsia="zh-CN" w:bidi="ar-SA"/>
        </w:rPr>
        <w:t>圣人山村种植大棚修复工程</w:t>
      </w:r>
      <w:bookmarkEnd w:id="108"/>
      <w:r>
        <w:rPr>
          <w:rFonts w:hint="eastAsia" w:ascii="仿宋" w:hAnsi="仿宋" w:eastAsia="仿宋" w:cs="仿宋"/>
          <w:b w:val="0"/>
          <w:kern w:val="2"/>
          <w:sz w:val="28"/>
          <w:szCs w:val="28"/>
          <w:lang w:val="en-US" w:eastAsia="zh-CN" w:bidi="ar-SA"/>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eastAsia="zh-CN"/>
        </w:rPr>
        <w:t>圣人山村种植大棚修复工程</w:t>
      </w:r>
      <w:r>
        <w:rPr>
          <w:rFonts w:hint="eastAsia" w:ascii="仿宋" w:hAnsi="仿宋" w:eastAsia="仿宋" w:cs="仿宋"/>
          <w:sz w:val="28"/>
          <w:szCs w:val="28"/>
        </w:rPr>
        <w:t>的潜在供应商应在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fldChar w:fldCharType="begin"/>
      </w:r>
      <w:r>
        <w:instrText xml:space="preserve"> HYPERLINK "http://ggzy.luan.gov.cn）获取采购文件，并于2022年11月" </w:instrText>
      </w:r>
      <w:r>
        <w:fldChar w:fldCharType="separate"/>
      </w:r>
      <w:r>
        <w:rPr>
          <w:rStyle w:val="47"/>
          <w:rFonts w:hint="eastAsia" w:ascii="仿宋" w:hAnsi="仿宋" w:eastAsia="仿宋" w:cs="仿宋"/>
          <w:sz w:val="28"/>
          <w:szCs w:val="28"/>
          <w:lang w:eastAsia="zh-CN"/>
        </w:rPr>
        <w:t>www.hsydgczx.com</w:t>
      </w:r>
      <w:r>
        <w:rPr>
          <w:rStyle w:val="47"/>
          <w:rFonts w:hint="eastAsia" w:ascii="仿宋" w:hAnsi="仿宋" w:eastAsia="仿宋" w:cs="仿宋"/>
          <w:sz w:val="28"/>
          <w:szCs w:val="28"/>
        </w:rPr>
        <w:t>）获取采购文件，并于202</w:t>
      </w:r>
      <w:r>
        <w:rPr>
          <w:rStyle w:val="47"/>
          <w:rFonts w:hint="eastAsia" w:ascii="仿宋" w:hAnsi="仿宋" w:eastAsia="仿宋" w:cs="仿宋"/>
          <w:sz w:val="28"/>
          <w:szCs w:val="28"/>
          <w:lang w:val="en-US" w:eastAsia="zh-CN"/>
        </w:rPr>
        <w:t>4</w:t>
      </w:r>
      <w:r>
        <w:rPr>
          <w:rStyle w:val="47"/>
          <w:rFonts w:hint="eastAsia" w:ascii="仿宋" w:hAnsi="仿宋" w:eastAsia="仿宋" w:cs="仿宋"/>
          <w:sz w:val="28"/>
          <w:szCs w:val="28"/>
        </w:rPr>
        <w:t>年</w:t>
      </w:r>
      <w:r>
        <w:rPr>
          <w:rStyle w:val="47"/>
          <w:rFonts w:hint="eastAsia" w:ascii="仿宋" w:hAnsi="仿宋" w:eastAsia="仿宋" w:cs="仿宋"/>
          <w:sz w:val="28"/>
          <w:szCs w:val="28"/>
          <w:lang w:val="en-US" w:eastAsia="zh-CN"/>
        </w:rPr>
        <w:t>3</w:t>
      </w:r>
      <w:r>
        <w:rPr>
          <w:rStyle w:val="47"/>
          <w:rFonts w:hint="eastAsia" w:ascii="仿宋" w:hAnsi="仿宋" w:eastAsia="仿宋" w:cs="仿宋"/>
          <w:sz w:val="28"/>
          <w:szCs w:val="28"/>
        </w:rPr>
        <w:t>月</w:t>
      </w:r>
      <w:r>
        <w:rPr>
          <w:rStyle w:val="47"/>
          <w:rFonts w:hint="eastAsia" w:ascii="仿宋" w:hAnsi="仿宋" w:eastAsia="仿宋" w:cs="仿宋"/>
          <w:sz w:val="28"/>
          <w:szCs w:val="28"/>
        </w:rPr>
        <w:fldChar w:fldCharType="end"/>
      </w:r>
      <w:r>
        <w:rPr>
          <w:rFonts w:hint="eastAsia" w:ascii="仿宋" w:hAnsi="仿宋" w:eastAsia="仿宋" w:cs="仿宋"/>
          <w:sz w:val="28"/>
          <w:szCs w:val="28"/>
          <w:u w:val="none"/>
          <w:lang w:val="en-US" w:eastAsia="zh-CN"/>
        </w:rPr>
        <w:t>11</w:t>
      </w:r>
      <w:r>
        <w:rPr>
          <w:rFonts w:hint="eastAsia" w:ascii="仿宋" w:hAnsi="仿宋" w:eastAsia="仿宋" w:cs="仿宋"/>
          <w:sz w:val="28"/>
          <w:szCs w:val="28"/>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点</w:t>
      </w:r>
      <w:r>
        <w:rPr>
          <w:rFonts w:hint="eastAsia" w:ascii="仿宋" w:hAnsi="仿宋" w:eastAsia="仿宋" w:cs="仿宋"/>
          <w:sz w:val="28"/>
          <w:szCs w:val="28"/>
          <w:u w:val="none"/>
          <w:lang w:val="en-US" w:eastAsia="zh-CN"/>
        </w:rPr>
        <w:t>00</w:t>
      </w:r>
      <w:r>
        <w:rPr>
          <w:rFonts w:hint="eastAsia" w:ascii="仿宋" w:hAnsi="仿宋" w:eastAsia="仿宋" w:cs="仿宋"/>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4" w:name="_Toc28359012"/>
      <w:bookmarkStart w:id="5" w:name="_Toc7777"/>
      <w:bookmarkStart w:id="6" w:name="_Toc35393798"/>
      <w:bookmarkStart w:id="7" w:name="_Toc28359089"/>
      <w:bookmarkStart w:id="8" w:name="_Toc3539362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w:t>
      </w:r>
      <w:r>
        <w:rPr>
          <w:rFonts w:hint="eastAsia" w:ascii="仿宋" w:hAnsi="仿宋" w:eastAsia="仿宋" w:cs="仿宋"/>
          <w:sz w:val="28"/>
          <w:szCs w:val="28"/>
          <w:lang w:eastAsia="zh-CN"/>
        </w:rPr>
        <w:t>圣人山村种植大棚修复工程</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项目编号：HSYD-2024-0303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项目类型：工程类</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、采购方式：竞争性谈判 </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、预算金额：</w:t>
      </w:r>
      <w:r>
        <w:rPr>
          <w:rFonts w:hint="eastAsia" w:ascii="仿宋" w:hAnsi="仿宋" w:eastAsia="仿宋" w:cs="仿宋"/>
          <w:sz w:val="28"/>
          <w:szCs w:val="28"/>
          <w:lang w:val="en-US" w:eastAsia="zh-CN"/>
        </w:rPr>
        <w:t>407840.74</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sz w:val="28"/>
          <w:szCs w:val="28"/>
          <w:lang w:val="en-US" w:eastAsia="zh-CN"/>
        </w:rPr>
        <w:t>407840.74</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、采购需求</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本项目位于霍山县下符桥镇。工程主要内容包括：原大棚拆除、大棚50m*6m（38个整体新建，10个维修新建50%，1个维修新建30%）、给水等，具体详见工程量清单。</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lang w:val="en-US" w:eastAsia="zh-CN"/>
        </w:rPr>
        <w:t>：20日历天</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9" w:name="_Toc28359090"/>
      <w:bookmarkStart w:id="10" w:name="_Toc35393799"/>
      <w:bookmarkStart w:id="11" w:name="_Toc35393630"/>
      <w:bookmarkStart w:id="12" w:name="_Toc28359013"/>
      <w:bookmarkStart w:id="13" w:name="_Toc11070"/>
      <w:r>
        <w:rPr>
          <w:rFonts w:hint="eastAsia" w:ascii="黑体" w:hAnsi="黑体" w:cs="黑体"/>
          <w:b w:val="0"/>
          <w:bCs/>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bookmarkStart w:id="14" w:name="_Toc28359091"/>
      <w:bookmarkStart w:id="15" w:name="_Toc28359014"/>
      <w:r>
        <w:rPr>
          <w:rFonts w:hint="eastAsia" w:ascii="仿宋" w:hAnsi="仿宋" w:eastAsia="仿宋" w:cs="仿宋"/>
          <w:sz w:val="28"/>
          <w:szCs w:val="28"/>
        </w:rPr>
        <w:t>2、本项目的特定资格要求：</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（1）具</w:t>
      </w:r>
      <w:r>
        <w:rPr>
          <w:rFonts w:hint="eastAsia" w:ascii="仿宋" w:hAnsi="仿宋" w:eastAsia="仿宋" w:cs="仿宋"/>
          <w:sz w:val="28"/>
          <w:szCs w:val="28"/>
          <w:lang w:val="en-US" w:eastAsia="zh-CN"/>
        </w:rPr>
        <w:t>备建筑工程</w:t>
      </w:r>
      <w:r>
        <w:rPr>
          <w:rFonts w:hint="eastAsia" w:ascii="仿宋" w:hAnsi="仿宋" w:eastAsia="仿宋" w:cs="仿宋"/>
          <w:sz w:val="28"/>
          <w:szCs w:val="28"/>
        </w:rPr>
        <w:t>施工总承包三级及以上资质，具有有效安全生产许可证；</w:t>
      </w:r>
    </w:p>
    <w:p>
      <w:pPr>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拟派项目经理（建造师）应具有建筑工程专业二级及以上注册建造师证书，并同时具有有效的安全考核合格B级证书</w:t>
      </w:r>
      <w:r>
        <w:rPr>
          <w:rFonts w:hint="eastAsia" w:ascii="仿宋" w:hAnsi="仿宋" w:eastAsia="仿宋" w:cs="仿宋"/>
          <w:sz w:val="28"/>
          <w:szCs w:val="28"/>
        </w:rPr>
        <w:t>；无在建工程（提供无在建承诺函，格式参考附件）。</w:t>
      </w:r>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(1）供应商被人民法院列入失信被执行人的；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pPr>
        <w:pageBreakBefore w:val="0"/>
        <w:kinsoku/>
        <w:wordWrap/>
        <w:overflowPunct/>
        <w:topLinePunct w:val="0"/>
        <w:autoSpaceDE/>
        <w:autoSpaceDN/>
        <w:bidi w:val="0"/>
        <w:adjustRightInd/>
        <w:snapToGrid/>
        <w:spacing w:line="460" w:lineRule="exact"/>
        <w:textAlignment w:val="auto"/>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(4）供应商被政府采购监管部门列入政府采购严重违法失信行为记录名单的。</w:t>
      </w:r>
      <w:r>
        <w:rPr>
          <w:rFonts w:hint="eastAsia" w:ascii="仿宋" w:hAnsi="仿宋" w:eastAsia="仿宋" w:cs="仿宋"/>
          <w:sz w:val="28"/>
          <w:szCs w:val="28"/>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w:t>
      </w:r>
      <w:r>
        <w:rPr>
          <w:rFonts w:hint="eastAsia" w:ascii="仿宋" w:hAnsi="仿宋" w:eastAsia="仿宋" w:cs="仿宋"/>
          <w:kern w:val="2"/>
          <w:sz w:val="28"/>
          <w:szCs w:val="28"/>
          <w:lang w:val="en-US" w:eastAsia="zh-CN" w:bidi="ar-SA"/>
        </w:rPr>
        <w:t>项目经理（建造师）及技术负责人必须是本单位工作人员。承包人需提供所属社保机构出具的包括谈判截止日所属月份（含）为基点起往前计算已经过去的连续5个月内不少于连续缴费3个月的拟委任的项目经理、技术负责人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姓名的工资打卡流水账单原件扫描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16" w:name="_Toc35393800"/>
      <w:bookmarkStart w:id="17" w:name="_Toc15899"/>
      <w:bookmarkStart w:id="18" w:name="_Toc35393631"/>
      <w:r>
        <w:rPr>
          <w:rFonts w:hint="eastAsia" w:ascii="黑体" w:hAnsi="黑体" w:cs="黑体"/>
          <w:b w:val="0"/>
          <w:bCs/>
          <w:sz w:val="28"/>
          <w:szCs w:val="28"/>
        </w:rPr>
        <w:t>三、获取采购文件</w:t>
      </w:r>
      <w:bookmarkEnd w:id="14"/>
      <w:bookmarkEnd w:id="15"/>
      <w:bookmarkEnd w:id="16"/>
      <w:bookmarkEnd w:id="17"/>
      <w:bookmarkEnd w:id="18"/>
    </w:p>
    <w:p>
      <w:pPr>
        <w:spacing w:line="480" w:lineRule="exact"/>
        <w:rPr>
          <w:rFonts w:ascii="仿宋" w:hAnsi="仿宋" w:eastAsia="仿宋" w:cs="仿宋"/>
          <w:sz w:val="28"/>
          <w:szCs w:val="28"/>
        </w:rPr>
      </w:pPr>
      <w:bookmarkStart w:id="19" w:name="_Toc35393801"/>
      <w:bookmarkStart w:id="20" w:name="_Toc28359092"/>
      <w:bookmarkStart w:id="21" w:name="_Toc28359015"/>
      <w:bookmarkStart w:id="22" w:name="_Toc35393632"/>
      <w:bookmarkStart w:id="23" w:name="_Toc13207"/>
      <w:r>
        <w:rPr>
          <w:rFonts w:hint="eastAsia" w:ascii="仿宋" w:hAnsi="仿宋" w:eastAsia="仿宋" w:cs="仿宋"/>
          <w:sz w:val="28"/>
          <w:szCs w:val="28"/>
        </w:rPr>
        <w:t>1、时间：自公告发布之日起至谈判时间前</w:t>
      </w:r>
    </w:p>
    <w:p>
      <w:pPr>
        <w:spacing w:line="480" w:lineRule="exact"/>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3、获取方式：本项目谈判文件（答疑澄清等相关文件资料）均由供应商从公告发布网站自行下载。</w:t>
      </w:r>
    </w:p>
    <w:p>
      <w:pPr>
        <w:spacing w:line="480" w:lineRule="exact"/>
        <w:rPr>
          <w:rFonts w:ascii="仿宋" w:hAnsi="仿宋" w:eastAsia="仿宋" w:cs="仿宋"/>
          <w:sz w:val="28"/>
          <w:szCs w:val="28"/>
        </w:rPr>
      </w:pPr>
      <w:r>
        <w:rPr>
          <w:rFonts w:hint="eastAsia" w:ascii="仿宋" w:hAnsi="仿宋" w:eastAsia="仿宋" w:cs="仿宋"/>
          <w:sz w:val="28"/>
          <w:szCs w:val="28"/>
        </w:rPr>
        <w:t>4、售价：零元</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spacing w:line="480" w:lineRule="exact"/>
        <w:rPr>
          <w:rFonts w:ascii="仿宋" w:hAnsi="仿宋" w:eastAsia="仿宋" w:cs="仿宋"/>
          <w:sz w:val="28"/>
          <w:szCs w:val="28"/>
        </w:rPr>
      </w:pPr>
      <w:r>
        <w:rPr>
          <w:rFonts w:hint="eastAsia" w:ascii="仿宋" w:hAnsi="仿宋" w:eastAsia="仿宋" w:cs="仿宋"/>
          <w:sz w:val="28"/>
          <w:szCs w:val="28"/>
        </w:rPr>
        <w:t>1、递交截止时间：</w:t>
      </w:r>
      <w:r>
        <w:rPr>
          <w:rFonts w:hint="eastAsia" w:ascii="仿宋" w:hAnsi="仿宋" w:eastAsia="仿宋" w:cs="仿宋"/>
          <w:color w:val="000000" w:themeColor="text1"/>
          <w:sz w:val="28"/>
          <w:szCs w:val="28"/>
          <w:lang w:eastAsia="zh-CN"/>
          <w14:textFill>
            <w14:solidFill>
              <w14:schemeClr w14:val="tx1"/>
            </w14:solidFill>
          </w14:textFill>
        </w:rPr>
        <w:t>2024</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日</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点</w:t>
      </w:r>
      <w:r>
        <w:rPr>
          <w:rFonts w:hint="eastAsia" w:ascii="仿宋" w:hAnsi="仿宋" w:eastAsia="仿宋" w:cs="仿宋"/>
          <w:color w:val="000000" w:themeColor="text1"/>
          <w:sz w:val="28"/>
          <w:szCs w:val="28"/>
          <w:lang w:val="en-US" w:eastAsia="zh-CN"/>
          <w14:textFill>
            <w14:solidFill>
              <w14:schemeClr w14:val="tx1"/>
            </w14:solidFill>
          </w14:textFill>
        </w:rPr>
        <w:t>00</w:t>
      </w:r>
      <w:r>
        <w:rPr>
          <w:rFonts w:hint="eastAsia" w:ascii="仿宋" w:hAnsi="仿宋" w:eastAsia="仿宋" w:cs="仿宋"/>
          <w:color w:val="000000" w:themeColor="text1"/>
          <w:sz w:val="28"/>
          <w:szCs w:val="28"/>
          <w14:textFill>
            <w14:solidFill>
              <w14:schemeClr w14:val="tx1"/>
            </w14:solidFill>
          </w14:textFill>
        </w:rPr>
        <w:t>分（北京时间）</w:t>
      </w:r>
    </w:p>
    <w:p>
      <w:pPr>
        <w:pageBreakBefore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2、递交方式：</w:t>
      </w:r>
      <w:r>
        <w:rPr>
          <w:rFonts w:hint="eastAsia" w:ascii="仿宋" w:hAnsi="仿宋" w:eastAsia="仿宋" w:cs="仿宋"/>
          <w:sz w:val="28"/>
          <w:szCs w:val="28"/>
          <w:lang w:val="en-US" w:eastAsia="zh-CN"/>
        </w:rPr>
        <w:t>现场递交</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bookmarkStart w:id="24" w:name="_Toc28359093"/>
      <w:bookmarkStart w:id="25" w:name="_Toc31128"/>
      <w:bookmarkStart w:id="26" w:name="_Toc28359016"/>
      <w:bookmarkStart w:id="27" w:name="_Toc35393802"/>
      <w:bookmarkStart w:id="28" w:name="_Toc35393633"/>
      <w:r>
        <w:rPr>
          <w:rFonts w:hint="eastAsia" w:ascii="黑体" w:hAnsi="黑体" w:cs="黑体"/>
          <w:b w:val="0"/>
          <w:bCs/>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rPr>
      </w:pPr>
      <w:bookmarkStart w:id="29" w:name="_Toc25132"/>
      <w:bookmarkStart w:id="30" w:name="_Toc35393634"/>
      <w:bookmarkStart w:id="31" w:name="_Toc28359094"/>
      <w:bookmarkStart w:id="32" w:name="_Toc35393803"/>
      <w:bookmarkStart w:id="33" w:name="_Toc28359017"/>
      <w:r>
        <w:rPr>
          <w:rFonts w:hint="eastAsia" w:ascii="仿宋" w:hAnsi="仿宋" w:eastAsia="仿宋" w:cs="仿宋"/>
          <w:sz w:val="28"/>
          <w:szCs w:val="28"/>
        </w:rPr>
        <w:t>1、开启时间：</w:t>
      </w:r>
      <w:r>
        <w:rPr>
          <w:rFonts w:hint="eastAsia" w:ascii="仿宋" w:hAnsi="仿宋" w:eastAsia="仿宋" w:cs="仿宋"/>
          <w:sz w:val="28"/>
          <w:szCs w:val="28"/>
          <w:lang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15</w:t>
      </w:r>
      <w:r>
        <w:rPr>
          <w:rFonts w:hint="eastAsia" w:ascii="仿宋" w:hAnsi="仿宋" w:eastAsia="仿宋" w:cs="仿宋"/>
          <w:sz w:val="28"/>
          <w:szCs w:val="28"/>
        </w:rPr>
        <w:t>点</w:t>
      </w:r>
      <w:r>
        <w:rPr>
          <w:rFonts w:hint="eastAsia" w:ascii="仿宋" w:hAnsi="仿宋" w:eastAsia="仿宋" w:cs="仿宋"/>
          <w:sz w:val="28"/>
          <w:szCs w:val="28"/>
          <w:lang w:val="en-US" w:eastAsia="zh-CN"/>
        </w:rPr>
        <w:t>00</w:t>
      </w:r>
      <w:r>
        <w:rPr>
          <w:rFonts w:hint="eastAsia" w:ascii="仿宋" w:hAnsi="仿宋" w:eastAsia="仿宋" w:cs="仿宋"/>
          <w:sz w:val="28"/>
          <w:szCs w:val="28"/>
        </w:rPr>
        <w:t>分（北京时间）</w:t>
      </w:r>
    </w:p>
    <w:p>
      <w:pPr>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2、开启地点：</w:t>
      </w:r>
      <w:r>
        <w:rPr>
          <w:rFonts w:hint="eastAsia" w:ascii="仿宋" w:hAnsi="仿宋" w:eastAsia="仿宋" w:cs="仿宋"/>
          <w:sz w:val="28"/>
          <w:szCs w:val="28"/>
          <w:lang w:eastAsia="zh-CN"/>
        </w:rPr>
        <w:t>霍山永达工程咨询有限公司三楼开标厅</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自本公告发布之日起3个工作日。</w:t>
      </w:r>
    </w:p>
    <w:p>
      <w:pPr>
        <w:pageBreakBefore w:val="0"/>
        <w:kinsoku/>
        <w:wordWrap/>
        <w:overflowPunct/>
        <w:topLinePunct w:val="0"/>
        <w:autoSpaceDE/>
        <w:autoSpaceDN/>
        <w:bidi w:val="0"/>
        <w:adjustRightInd/>
        <w:snapToGrid/>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28359095"/>
      <w:bookmarkStart w:id="37" w:name="_Toc35393805"/>
      <w:bookmarkStart w:id="38" w:name="_Toc28359018"/>
      <w:bookmarkStart w:id="39" w:name="_Toc35393636"/>
    </w:p>
    <w:p>
      <w:pPr>
        <w:spacing w:line="460" w:lineRule="exact"/>
        <w:ind w:firstLine="560" w:firstLineChars="200"/>
        <w:rPr>
          <w:rFonts w:ascii="仿宋" w:hAnsi="仿宋" w:eastAsia="仿宋" w:cs="仿宋"/>
          <w:kern w:val="0"/>
          <w:sz w:val="28"/>
          <w:szCs w:val="28"/>
        </w:rPr>
      </w:pPr>
      <w:bookmarkStart w:id="40" w:name="_Toc21256"/>
      <w:r>
        <w:rPr>
          <w:rFonts w:hint="eastAsia" w:ascii="仿宋" w:hAnsi="仿宋" w:eastAsia="仿宋" w:cs="仿宋"/>
          <w:sz w:val="28"/>
          <w:szCs w:val="28"/>
        </w:rPr>
        <w:t>1、供应商应当按照本项目采购文件规定的时间和地点参与谈判，供应商仅确定一名人员参加：法定代表人持本人二代居民身份证原件和法定代表人身份证明、及本人近三个月社保证明材料（或授权委托代理人持本人二代居民身份证原件和法人授权委托书原件、委托人近三个月社保证明材料），凡不能出示上述有效证件、社保证明材料或到场人员与证件、社保证明载明的人员不一致或未出席谈判会议者，响应文件不予接受，谈判资格无效。近三个月社保的认定方法与前述关于项目经理等的社保认定方法相同。凡开标现场提供查验的委托人或法人代表的社保证明材料不清晰无法辨认，或社保证明材料未提供查验二维码或其他验真码无法验证真实性的，均不予认可，响应文件不予接受，谈判资格无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2、答疑：供应商如果对本项目内容有相关疑问，可以以邮件形式提出，对采购文件进行的澄清、更正或更改，将在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）网站上及时发布，该公告内容为采购文件的组成部分，对供应商具有同样约束力效力。供应商应主动上网查询，供应商须自行承担因未及时关注相关信息而引发的相关责任。</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3、本项目相关公告在</w:t>
      </w:r>
      <w:r>
        <w:rPr>
          <w:rFonts w:hint="eastAsia" w:ascii="仿宋" w:hAnsi="仿宋" w:eastAsia="仿宋" w:cs="仿宋"/>
          <w:sz w:val="28"/>
          <w:szCs w:val="28"/>
          <w:lang w:eastAsia="zh-CN"/>
        </w:rPr>
        <w:t>霍山永达工程咨询有限公司网站</w:t>
      </w:r>
      <w:r>
        <w:rPr>
          <w:rFonts w:hint="eastAsia" w:ascii="仿宋" w:hAnsi="仿宋" w:eastAsia="仿宋" w:cs="仿宋"/>
          <w:sz w:val="28"/>
          <w:szCs w:val="28"/>
        </w:rPr>
        <w:t>（</w:t>
      </w:r>
      <w:r>
        <w:rPr>
          <w:rFonts w:hint="eastAsia" w:ascii="仿宋" w:hAnsi="仿宋" w:eastAsia="仿宋" w:cs="仿宋"/>
          <w:sz w:val="28"/>
          <w:szCs w:val="28"/>
          <w:lang w:eastAsia="zh-CN"/>
        </w:rPr>
        <w:t>www.hsydgczx.com</w:t>
      </w:r>
      <w:r>
        <w:rPr>
          <w:rFonts w:hint="eastAsia" w:ascii="仿宋" w:hAnsi="仿宋" w:eastAsia="仿宋" w:cs="仿宋"/>
          <w:sz w:val="28"/>
          <w:szCs w:val="28"/>
        </w:rPr>
        <w:t>）网站发布，请各位供应商注意查看有关竞争性谈判公告、答疑澄清等相关文件资料，如不及时查看造成后果由供应商自负。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sz w:val="28"/>
          <w:szCs w:val="28"/>
        </w:rPr>
        <w:t>4、严禁恶意低价或恶意高价竞标，对恶意低价或恶意高价竞标的，采购人有权进行调查处理，经查证属实的，其响应资格无效，同时给予限制投标资格等处理。</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sz w:val="28"/>
          <w:szCs w:val="28"/>
        </w:rPr>
      </w:pPr>
      <w:bookmarkStart w:id="41" w:name="_Toc35393637"/>
      <w:bookmarkStart w:id="42" w:name="_Toc35393806"/>
      <w:bookmarkStart w:id="43" w:name="_Toc12167"/>
      <w:bookmarkStart w:id="44" w:name="_Toc28359096"/>
      <w:bookmarkStart w:id="45" w:name="_Toc28359019"/>
      <w:r>
        <w:rPr>
          <w:rFonts w:hint="eastAsia" w:ascii="仿宋" w:hAnsi="仿宋" w:eastAsia="仿宋" w:cs="仿宋"/>
          <w:b w:val="0"/>
          <w:bCs/>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bookmarkStart w:id="46" w:name="_Toc35393807"/>
      <w:bookmarkStart w:id="47" w:name="_Toc28359020"/>
      <w:bookmarkStart w:id="48" w:name="_Toc35393638"/>
      <w:bookmarkStart w:id="49" w:name="_Toc28359097"/>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霍山县下符桥镇人民政府</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pacing w:val="-11"/>
          <w:kern w:val="11"/>
          <w:sz w:val="28"/>
          <w:szCs w:val="28"/>
          <w:lang w:val="en-US" w:eastAsia="zh-CN"/>
        </w:rPr>
      </w:pPr>
      <w:r>
        <w:rPr>
          <w:rFonts w:hint="eastAsia" w:ascii="仿宋" w:hAnsi="仿宋" w:eastAsia="仿宋" w:cs="仿宋"/>
          <w:bCs/>
          <w:sz w:val="28"/>
          <w:szCs w:val="28"/>
        </w:rPr>
        <w:t>地址：</w:t>
      </w:r>
      <w:r>
        <w:rPr>
          <w:rFonts w:hint="eastAsia" w:ascii="仿宋" w:hAnsi="仿宋" w:eastAsia="仿宋" w:cs="仿宋"/>
          <w:bCs/>
          <w:spacing w:val="-11"/>
          <w:kern w:val="11"/>
          <w:sz w:val="28"/>
          <w:szCs w:val="28"/>
          <w:lang w:eastAsia="zh-CN"/>
        </w:rPr>
        <w:t>霍山县</w:t>
      </w:r>
      <w:r>
        <w:rPr>
          <w:rFonts w:hint="eastAsia" w:ascii="仿宋" w:hAnsi="仿宋" w:eastAsia="仿宋" w:cs="仿宋"/>
          <w:bCs/>
          <w:spacing w:val="-11"/>
          <w:kern w:val="11"/>
          <w:sz w:val="28"/>
          <w:szCs w:val="28"/>
          <w:lang w:val="en-US" w:eastAsia="zh-CN"/>
        </w:rPr>
        <w:t>下符桥镇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联系电话</w:t>
      </w:r>
      <w:r>
        <w:rPr>
          <w:rFonts w:hint="eastAsia" w:ascii="仿宋" w:hAnsi="仿宋" w:eastAsia="仿宋" w:cs="仿宋"/>
          <w:bCs/>
          <w:spacing w:val="-11"/>
          <w:kern w:val="11"/>
          <w:sz w:val="28"/>
          <w:szCs w:val="28"/>
          <w:lang w:eastAsia="zh-CN"/>
        </w:rPr>
        <w:t>：</w:t>
      </w:r>
      <w:r>
        <w:rPr>
          <w:rFonts w:hint="eastAsia" w:ascii="仿宋" w:hAnsi="仿宋" w:eastAsia="仿宋" w:cs="仿宋"/>
          <w:bCs/>
          <w:spacing w:val="-11"/>
          <w:kern w:val="11"/>
          <w:sz w:val="28"/>
          <w:szCs w:val="28"/>
          <w:lang w:val="en-US" w:eastAsia="zh-CN"/>
        </w:rPr>
        <w:t>15357179127</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2、采购代理机构信息</w:t>
      </w:r>
      <w:bookmarkEnd w:id="46"/>
      <w:bookmarkEnd w:id="47"/>
      <w:bookmarkEnd w:id="48"/>
      <w:bookmarkEnd w:id="49"/>
      <w:bookmarkStart w:id="50" w:name="_Toc35393808"/>
      <w:bookmarkStart w:id="51" w:name="_Toc28359098"/>
      <w:bookmarkStart w:id="52" w:name="_Toc35393639"/>
      <w:bookmarkStart w:id="53" w:name="_Toc28359021"/>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名称</w:t>
      </w:r>
      <w:r>
        <w:rPr>
          <w:rFonts w:hint="eastAsia" w:ascii="仿宋" w:hAnsi="仿宋" w:eastAsia="仿宋" w:cs="仿宋"/>
          <w:bCs/>
          <w:sz w:val="28"/>
          <w:szCs w:val="28"/>
        </w:rPr>
        <w:t>：</w:t>
      </w:r>
      <w:r>
        <w:rPr>
          <w:rFonts w:hint="eastAsia" w:ascii="仿宋" w:hAnsi="仿宋" w:eastAsia="仿宋" w:cs="仿宋"/>
          <w:bCs/>
          <w:sz w:val="28"/>
          <w:szCs w:val="28"/>
          <w:lang w:eastAsia="zh-CN"/>
        </w:rPr>
        <w:t>霍山永达工程咨询有限公司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val="en-US" w:eastAsia="zh-CN"/>
        </w:rPr>
        <w:t>霍山县中兴南路14号</w:t>
      </w:r>
      <w:r>
        <w:rPr>
          <w:rFonts w:hint="eastAsia" w:ascii="仿宋" w:hAnsi="仿宋" w:eastAsia="仿宋" w:cs="仿宋"/>
          <w:bCs/>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联系方式：</w:t>
      </w:r>
      <w:r>
        <w:rPr>
          <w:rFonts w:hint="eastAsia" w:ascii="仿宋" w:hAnsi="仿宋" w:eastAsia="仿宋" w:cs="仿宋"/>
          <w:bCs/>
          <w:sz w:val="28"/>
          <w:szCs w:val="28"/>
          <w:lang w:val="en-US" w:eastAsia="zh-CN"/>
        </w:rPr>
        <w:t>0564-5022803、18005649621</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sz w:val="28"/>
          <w:szCs w:val="28"/>
        </w:rPr>
      </w:pPr>
      <w:r>
        <w:rPr>
          <w:rFonts w:hint="eastAsia" w:ascii="仿宋" w:hAnsi="仿宋" w:eastAsia="仿宋" w:cs="仿宋"/>
          <w:bCs/>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项目联系人：</w:t>
      </w:r>
      <w:r>
        <w:rPr>
          <w:rFonts w:hint="eastAsia" w:ascii="仿宋" w:hAnsi="仿宋" w:eastAsia="仿宋" w:cs="仿宋"/>
          <w:bCs/>
          <w:sz w:val="28"/>
          <w:szCs w:val="28"/>
          <w:lang w:val="en-US" w:eastAsia="zh-CN"/>
        </w:rPr>
        <w:t>鲍先生</w:t>
      </w:r>
      <w:r>
        <w:rPr>
          <w:rFonts w:hint="eastAsia" w:ascii="仿宋" w:hAnsi="仿宋" w:eastAsia="仿宋" w:cs="仿宋"/>
          <w:bCs/>
          <w:sz w:val="28"/>
          <w:szCs w:val="28"/>
          <w:lang w:val="en-US" w:eastAsia="zh-CN"/>
        </w:rPr>
        <w:tab/>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电　 话：</w:t>
      </w:r>
      <w:r>
        <w:rPr>
          <w:rFonts w:hint="eastAsia" w:ascii="仿宋" w:hAnsi="仿宋" w:eastAsia="仿宋" w:cs="仿宋"/>
          <w:bCs/>
          <w:sz w:val="28"/>
          <w:szCs w:val="28"/>
          <w:lang w:val="en-US" w:eastAsia="zh-CN"/>
        </w:rPr>
        <w:t>0564-5022803</w:t>
      </w:r>
    </w:p>
    <w:p>
      <w:pPr>
        <w:pageBreakBefore w:val="0"/>
        <w:widowControl/>
        <w:kinsoku/>
        <w:wordWrap/>
        <w:overflowPunct/>
        <w:topLinePunct w:val="0"/>
        <w:autoSpaceDE/>
        <w:autoSpaceDN/>
        <w:bidi w:val="0"/>
        <w:adjustRightInd/>
        <w:snapToGrid/>
        <w:spacing w:line="460" w:lineRule="exact"/>
        <w:ind w:firstLine="560" w:firstLineChars="200"/>
        <w:jc w:val="right"/>
        <w:textAlignment w:val="auto"/>
        <w:rPr>
          <w:rFonts w:ascii="仿宋" w:hAnsi="仿宋" w:eastAsia="仿宋" w:cs="仿宋"/>
          <w:bCs/>
          <w:sz w:val="28"/>
          <w:szCs w:val="28"/>
        </w:rPr>
      </w:pPr>
      <w:r>
        <w:rPr>
          <w:rFonts w:hint="eastAsia" w:ascii="仿宋" w:hAnsi="仿宋" w:eastAsia="仿宋" w:cs="仿宋"/>
          <w:bCs/>
          <w:sz w:val="28"/>
          <w:szCs w:val="28"/>
          <w:lang w:eastAsia="zh-CN"/>
        </w:rPr>
        <w:t>2024</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3 </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6</w:t>
      </w:r>
      <w:r>
        <w:rPr>
          <w:rFonts w:hint="eastAsia" w:ascii="仿宋" w:hAnsi="仿宋" w:eastAsia="仿宋" w:cs="仿宋"/>
          <w:bCs/>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20"/>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720"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1"/>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720"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227" w:type="dxa"/>
            <w:vAlign w:val="center"/>
          </w:tcPr>
          <w:p>
            <w:pPr>
              <w:spacing w:line="440" w:lineRule="exact"/>
              <w:rPr>
                <w:sz w:val="24"/>
                <w:szCs w:val="24"/>
              </w:rPr>
            </w:pPr>
            <w:r>
              <w:rPr>
                <w:rFonts w:hint="eastAsia"/>
                <w:sz w:val="24"/>
                <w:szCs w:val="24"/>
                <w:lang w:eastAsia="zh-CN"/>
              </w:rPr>
              <w:t>霍山县下符桥镇人民政府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720"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霍山永达工程咨询有限公司</w:t>
            </w:r>
            <w:r>
              <w:rPr>
                <w:rFonts w:ascii="宋体" w:hAnsi="宋体"/>
                <w:sz w:val="24"/>
                <w:szCs w:val="24"/>
              </w:rPr>
              <w:t xml:space="preserve"> </w:t>
            </w:r>
          </w:p>
          <w:p>
            <w:pPr>
              <w:spacing w:line="440" w:lineRule="exact"/>
              <w:jc w:val="left"/>
              <w:rPr>
                <w:rFonts w:hint="default"/>
                <w:b/>
                <w:bCs/>
                <w:sz w:val="24"/>
                <w:szCs w:val="24"/>
                <w:lang w:val="en-US"/>
              </w:rPr>
            </w:pPr>
            <w:r>
              <w:rPr>
                <w:rFonts w:hint="eastAsia"/>
                <w:sz w:val="24"/>
                <w:szCs w:val="24"/>
              </w:rPr>
              <w:t>地址：</w:t>
            </w:r>
            <w:r>
              <w:rPr>
                <w:rFonts w:hint="eastAsia"/>
                <w:sz w:val="24"/>
                <w:szCs w:val="24"/>
                <w:lang w:val="en-US"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1"/>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1"/>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圣人山村种植大棚修复工程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项目编号</w:t>
            </w:r>
          </w:p>
        </w:tc>
        <w:tc>
          <w:tcPr>
            <w:tcW w:w="7227" w:type="dxa"/>
            <w:vAlign w:val="center"/>
          </w:tcPr>
          <w:p>
            <w:pPr>
              <w:pStyle w:val="101"/>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HSYD-2024-0303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付款方式</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default"/>
                <w:szCs w:val="24"/>
                <w:lang w:val="en-US" w:eastAsia="zh-CN"/>
              </w:rPr>
            </w:pPr>
            <w:r>
              <w:rPr>
                <w:rFonts w:hint="eastAsia"/>
                <w:szCs w:val="24"/>
                <w:lang w:val="en-US"/>
              </w:rPr>
              <w:t>付款方式：本工程无预拨款，工程结束验收审计后当年付50%，其余工程款待第二年、第三年分别付30%、20%（无息含工程质保金）。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720"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szCs w:val="24"/>
                <w:lang w:val="en-US"/>
              </w:rPr>
            </w:pPr>
            <w:r>
              <w:rPr>
                <w:rFonts w:hint="eastAsia"/>
                <w:szCs w:val="24"/>
                <w:lang w:val="en-US" w:eastAsia="zh-CN"/>
              </w:rPr>
              <w:t>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hint="default" w:eastAsia="宋体"/>
                <w:b/>
                <w:bCs/>
                <w:szCs w:val="24"/>
                <w:lang w:val="en-US" w:eastAsia="zh-CN"/>
              </w:rPr>
            </w:pPr>
            <w:r>
              <w:rPr>
                <w:rFonts w:hint="eastAsia" w:ascii="宋体" w:hAnsi="宋体" w:cs="宋体"/>
                <w:bCs/>
                <w:color w:val="auto"/>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成交供应商须向采购代理机构交纳代理服务费，代理服务费按国家收费标准计取，在领取成交通知书时缴纳，计算基数为</w:t>
            </w:r>
            <w:r>
              <w:rPr>
                <w:rFonts w:hint="eastAsia" w:ascii="宋体" w:hAnsi="宋体" w:cs="宋体"/>
                <w:color w:val="auto"/>
                <w:szCs w:val="24"/>
                <w:highlight w:val="none"/>
                <w:lang w:val="en-US" w:eastAsia="zh-CN"/>
              </w:rPr>
              <w:t>成交</w:t>
            </w:r>
            <w:r>
              <w:rPr>
                <w:rFonts w:hint="eastAsia" w:ascii="宋体" w:hAnsi="宋体" w:cs="宋体"/>
                <w:color w:val="auto"/>
                <w:szCs w:val="24"/>
                <w:highlight w:val="none"/>
              </w:rPr>
              <w:t>价。专家评审费（具体以实际支付金额为准）由成交供应商在领取成交通知书时另行支付。供应商在报价时综合考虑上述费用，不单独列项。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highlight w:val="none"/>
              </w:rPr>
              <w:t>履约保证金</w:t>
            </w:r>
          </w:p>
        </w:tc>
        <w:tc>
          <w:tcPr>
            <w:tcW w:w="7227" w:type="dxa"/>
            <w:vAlign w:val="center"/>
          </w:tcPr>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val="en-US" w:eastAsia="zh-CN"/>
              </w:rPr>
              <w:t>无。</w:t>
            </w:r>
          </w:p>
          <w:p>
            <w:pPr>
              <w:pStyle w:val="99"/>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9"/>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9"/>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278329470</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于收到质疑文件后七个工作日内答复，请质疑人及时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w:t>
            </w:r>
            <w:r>
              <w:rPr>
                <w:rFonts w:hint="eastAsia" w:ascii="宋体" w:hAnsi="宋体"/>
                <w:bCs/>
                <w:kern w:val="2"/>
                <w:szCs w:val="24"/>
                <w:lang w:eastAsia="zh-CN"/>
              </w:rPr>
              <w:t>霍山永达工程咨询有限公司网站（www.hsydgczx.com）</w:t>
            </w:r>
            <w:r>
              <w:rPr>
                <w:rFonts w:hint="eastAsia" w:ascii="宋体" w:hAnsi="宋体"/>
                <w:bCs/>
                <w:kern w:val="2"/>
                <w:szCs w:val="24"/>
              </w:rPr>
              <w:t>”</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9"/>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r>
              <w:rPr>
                <w:rFonts w:hint="eastAsia" w:ascii="宋体" w:hAnsi="宋体"/>
                <w:szCs w:val="24"/>
                <w:lang w:eastAsia="zh-CN"/>
              </w:rPr>
              <w:t>（胶装）</w:t>
            </w:r>
            <w:r>
              <w:rPr>
                <w:rFonts w:hint="eastAsia" w:ascii="宋体" w:hAnsi="宋体"/>
                <w:szCs w:val="24"/>
              </w:rPr>
              <w:t>。</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如果响应文件没有按规定装订、分装、标记和密封，采购人和代理机构不承担提前开封的责任。</w:t>
            </w:r>
          </w:p>
          <w:p>
            <w:pPr>
              <w:pStyle w:val="99"/>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eastAsia="zh-CN"/>
              </w:rPr>
              <w:t>现场递交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4"/>
              <w:spacing w:line="48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4"/>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720"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bCs/>
                <w:color w:val="000000" w:themeColor="text1"/>
                <w:kern w:val="2"/>
                <w:szCs w:val="24"/>
                <w:lang w:eastAsia="zh-CN"/>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lang w:eastAsia="zh-CN"/>
                <w14:textFill>
                  <w14:solidFill>
                    <w14:schemeClr w14:val="tx1"/>
                  </w14:solidFill>
                </w14:textFill>
              </w:rPr>
              <w:t>详见谈判公告</w:t>
            </w:r>
          </w:p>
          <w:p>
            <w:pPr>
              <w:pStyle w:val="99"/>
              <w:pBdr>
                <w:bottom w:val="none" w:color="auto" w:sz="0" w:space="0"/>
              </w:pBdr>
              <w:tabs>
                <w:tab w:val="clear" w:pos="4153"/>
                <w:tab w:val="clear" w:pos="8306"/>
              </w:tabs>
              <w:adjustRightInd/>
              <w:spacing w:line="44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w:t>
            </w:r>
            <w:r>
              <w:rPr>
                <w:rFonts w:hint="eastAsia" w:ascii="宋体" w:hAnsi="宋体"/>
                <w:bCs/>
                <w:color w:val="000000" w:themeColor="text1"/>
                <w:kern w:val="2"/>
                <w:szCs w:val="24"/>
                <w:lang w:eastAsia="zh-CN"/>
                <w14:textFill>
                  <w14:solidFill>
                    <w14:schemeClr w14:val="tx1"/>
                  </w14:solidFill>
                </w14:textFill>
              </w:rPr>
              <w:t>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9"/>
              <w:pBdr>
                <w:bottom w:val="none" w:color="auto" w:sz="0" w:space="0"/>
              </w:pBdr>
              <w:tabs>
                <w:tab w:val="clear" w:pos="4153"/>
                <w:tab w:val="clear" w:pos="8306"/>
              </w:tabs>
              <w:adjustRightInd/>
              <w:spacing w:line="440" w:lineRule="exact"/>
              <w:jc w:val="both"/>
              <w:textAlignment w:val="auto"/>
              <w:rPr>
                <w:rFonts w:ascii="宋体" w:hAnsi="宋体"/>
                <w:b/>
                <w:kern w:val="2"/>
                <w:szCs w:val="24"/>
                <w:lang w:val="en-US"/>
              </w:rPr>
            </w:pPr>
            <w:r>
              <w:rPr>
                <w:rFonts w:ascii="宋体" w:hAnsi="宋体" w:eastAsia="宋体" w:cs="宋体"/>
                <w:sz w:val="24"/>
                <w:szCs w:val="24"/>
              </w:rPr>
              <w:t>2、供应商除配备1名项目经理外，还须配备技术负责人1名、施工员1名、安全员1名、质量员1名，响应文件中须载明上述人员，项目技术负责人应具有</w:t>
            </w:r>
            <w:r>
              <w:rPr>
                <w:rFonts w:hint="eastAsia" w:ascii="宋体" w:hAnsi="宋体" w:cs="宋体"/>
                <w:sz w:val="24"/>
                <w:szCs w:val="24"/>
                <w:lang w:val="en-US" w:eastAsia="zh-CN"/>
              </w:rPr>
              <w:t>建筑工程</w:t>
            </w:r>
            <w:r>
              <w:rPr>
                <w:rFonts w:ascii="宋体" w:hAnsi="宋体" w:eastAsia="宋体" w:cs="宋体"/>
                <w:sz w:val="24"/>
                <w:szCs w:val="24"/>
              </w:rPr>
              <w:t>相关专业的中级及以上职称，专业不配套按不实质性响应谈判文件要求处理（需提供技术负责人职称证书）；无需提供施工员、安全员、质量员岗位证书，后期在项目实施过程中需遵守主管部门的相关要求。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cs="宋体"/>
                <w:color w:val="FF0000"/>
                <w:sz w:val="24"/>
                <w:szCs w:val="24"/>
                <w:lang w:eastAsia="zh-CN"/>
              </w:rPr>
              <w:t>“双随机”抽取系数操作规程</w:t>
            </w:r>
          </w:p>
        </w:tc>
        <w:tc>
          <w:tcPr>
            <w:tcW w:w="7227" w:type="dxa"/>
            <w:vAlign w:val="center"/>
          </w:tcPr>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b/>
                <w:kern w:val="2"/>
                <w:szCs w:val="24"/>
                <w:lang w:val="en-US"/>
              </w:rPr>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
                <w:kern w:val="2"/>
                <w:sz w:val="24"/>
                <w:szCs w:val="24"/>
                <w:lang w:val="en-US" w:eastAsia="zh-CN" w:bidi="ar-SA"/>
              </w:rPr>
            </w:pPr>
            <w:r>
              <w:rPr>
                <w:rFonts w:hint="eastAsia" w:ascii="宋体" w:hAnsi="宋体"/>
                <w:b/>
                <w:kern w:val="2"/>
                <w:szCs w:val="24"/>
                <w:lang w:val="en-US" w:eastAsia="zh-CN"/>
              </w:rPr>
              <w:t>24</w:t>
            </w:r>
          </w:p>
        </w:tc>
        <w:tc>
          <w:tcPr>
            <w:tcW w:w="172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eastAsia="宋体" w:cs="Times New Roman"/>
                <w:bCs/>
                <w:kern w:val="2"/>
                <w:sz w:val="24"/>
                <w:szCs w:val="24"/>
                <w:lang w:val="en-US" w:eastAsia="zh-CN" w:bidi="ar-SA"/>
              </w:rPr>
            </w:pPr>
            <w:r>
              <w:rPr>
                <w:rFonts w:hint="eastAsia" w:ascii="宋体" w:hAnsi="宋体"/>
                <w:bCs/>
                <w:kern w:val="2"/>
                <w:szCs w:val="24"/>
                <w:lang w:val="en-US" w:eastAsia="zh-CN"/>
              </w:rPr>
              <w:t>谈判文件解释权</w:t>
            </w:r>
          </w:p>
        </w:tc>
        <w:tc>
          <w:tcPr>
            <w:tcW w:w="7227"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宋体" w:hAnsi="宋体" w:eastAsia="宋体" w:cs="Times New Roman"/>
                <w:b/>
                <w:kern w:val="2"/>
                <w:sz w:val="24"/>
                <w:szCs w:val="24"/>
                <w:lang w:val="en-US" w:eastAsia="zh-CN" w:bidi="ar-SA"/>
              </w:rPr>
            </w:pPr>
            <w:r>
              <w:rPr>
                <w:rFonts w:ascii="宋体" w:hAnsi="宋体" w:eastAsia="宋体" w:cs="宋体"/>
                <w:sz w:val="24"/>
                <w:szCs w:val="24"/>
              </w:rPr>
              <w:t>本谈判文件的解释权归采购人。</w:t>
            </w:r>
          </w:p>
        </w:tc>
      </w:tr>
    </w:tbl>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bookmarkStart w:id="59" w:name="_Toc7878"/>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430" w:lineRule="exact"/>
        <w:ind w:firstLine="241" w:firstLineChars="100"/>
        <w:jc w:val="center"/>
        <w:textAlignment w:val="baseline"/>
        <w:rPr>
          <w:rFonts w:hint="eastAsia" w:ascii="宋体" w:hAnsi="宋体" w:eastAsia="宋体" w:cs="宋体"/>
          <w:sz w:val="24"/>
          <w:szCs w:val="24"/>
        </w:rPr>
      </w:pPr>
    </w:p>
    <w:p>
      <w:pPr>
        <w:pStyle w:val="6"/>
        <w:spacing w:before="0" w:after="0" w:line="430" w:lineRule="exact"/>
        <w:ind w:firstLine="241" w:firstLineChars="100"/>
        <w:jc w:val="center"/>
        <w:rPr>
          <w:rFonts w:ascii="宋体" w:hAnsi="宋体" w:eastAsia="宋体" w:cs="宋体"/>
          <w:sz w:val="24"/>
          <w:szCs w:val="24"/>
        </w:rPr>
      </w:pPr>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216158625"/>
      <w:bookmarkStart w:id="61" w:name="_Toc363199266"/>
      <w:bookmarkStart w:id="62"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ascii="宋体" w:hAnsi="宋体"/>
          <w:sz w:val="24"/>
          <w:szCs w:val="24"/>
        </w:rPr>
      </w:pPr>
      <w:r>
        <w:rPr>
          <w:rFonts w:hint="eastAsia" w:ascii="宋体" w:hAnsi="宋体"/>
          <w:sz w:val="24"/>
          <w:szCs w:val="24"/>
        </w:rPr>
        <w:t>8、谈判文件要求和供应商认为需要提供的其它说明和资料。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rPr>
        <w:t>9、最终报价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pStyle w:val="6"/>
        <w:spacing w:before="0" w:after="0" w:line="430" w:lineRule="exact"/>
        <w:jc w:val="left"/>
        <w:rPr>
          <w:rFonts w:hint="eastAsia" w:ascii="宋体" w:hAnsi="宋体" w:eastAsia="宋体" w:cs="宋体"/>
          <w:b w:val="0"/>
          <w:bCs/>
          <w:sz w:val="24"/>
          <w:szCs w:val="24"/>
        </w:rPr>
      </w:pPr>
      <w:r>
        <w:rPr>
          <w:rFonts w:hint="eastAsia" w:ascii="宋体" w:hAnsi="宋体" w:eastAsia="宋体" w:cs="Times New Roman"/>
          <w:b w:val="0"/>
          <w:kern w:val="2"/>
          <w:sz w:val="24"/>
          <w:szCs w:val="24"/>
          <w:lang w:val="en-US" w:eastAsia="zh-CN" w:bidi="ar-SA"/>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keepNext w:val="0"/>
        <w:keepLines w:val="0"/>
        <w:pageBreakBefore w:val="0"/>
        <w:tabs>
          <w:tab w:val="left" w:pos="900"/>
        </w:tabs>
        <w:kinsoku/>
        <w:wordWrap/>
        <w:overflowPunct/>
        <w:topLinePunct w:val="0"/>
        <w:autoSpaceDE/>
        <w:autoSpaceDN/>
        <w:bidi w:val="0"/>
        <w:adjustRightInd/>
        <w:snapToGrid/>
        <w:spacing w:line="440" w:lineRule="exact"/>
        <w:ind w:left="0" w:firstLine="482" w:firstLineChars="200"/>
        <w:textAlignment w:val="auto"/>
        <w:rPr>
          <w:rFonts w:ascii="宋体" w:hAnsi="宋体"/>
          <w:b/>
          <w:bCs/>
          <w:color w:val="0070C0"/>
          <w:sz w:val="24"/>
          <w:szCs w:val="24"/>
          <w:u w:val="single"/>
        </w:rPr>
      </w:pPr>
      <w:r>
        <w:rPr>
          <w:rFonts w:hint="eastAsia" w:ascii="宋体" w:hAnsi="宋体"/>
          <w:b/>
          <w:bCs/>
          <w:color w:val="0070C0"/>
          <w:sz w:val="24"/>
          <w:szCs w:val="24"/>
        </w:rPr>
        <w:t>6、谈判结束后，谈判小组将要求所有符合条件的供应商在规定的时间内进行最后的报价。</w:t>
      </w:r>
      <w:r>
        <w:rPr>
          <w:rFonts w:hint="eastAsia" w:ascii="宋体" w:hAnsi="宋体"/>
          <w:b/>
          <w:bCs/>
          <w:color w:val="0070C0"/>
          <w:sz w:val="24"/>
          <w:szCs w:val="24"/>
          <w:u w:val="single"/>
        </w:rPr>
        <w:t>供应商应在谈判小组发出二轮报价指令后30分钟内完成报价，若供应商未在谈判小组规定的时间内提交最后的报价，则其前一轮报价即为该供应商最后的报价（后一轮报价不得高于前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谈判小组按以下步骤对各供应商最终报价依序进行评审：</w:t>
      </w:r>
      <w:r>
        <w:rPr>
          <w:rFonts w:ascii="宋体" w:hAnsi="宋体" w:cs="宋体"/>
          <w:color w:val="auto"/>
          <w:sz w:val="24"/>
          <w:szCs w:val="24"/>
        </w:rPr>
        <w:br w:type="textWrapping"/>
      </w:r>
      <w:r>
        <w:rPr>
          <w:rFonts w:ascii="宋体" w:hAnsi="宋体" w:cs="宋体"/>
          <w:color w:val="auto"/>
          <w:sz w:val="24"/>
          <w:szCs w:val="24"/>
        </w:rPr>
        <w:t>第一步，认定有效报价。各供应商的所有报价不得超过最高限价，且最终报价不得</w:t>
      </w:r>
    </w:p>
    <w:p>
      <w:pPr>
        <w:keepNext w:val="0"/>
        <w:keepLines w:val="0"/>
        <w:pageBreakBefore w:val="0"/>
        <w:widowControl/>
        <w:suppressLineNumbers w:val="0"/>
        <w:kinsoku/>
        <w:wordWrap/>
        <w:overflowPunct/>
        <w:topLinePunct w:val="0"/>
        <w:autoSpaceDE/>
        <w:autoSpaceDN/>
        <w:bidi w:val="0"/>
        <w:adjustRightInd/>
        <w:snapToGrid/>
        <w:spacing w:line="440" w:lineRule="exact"/>
        <w:ind w:left="480" w:leftChars="0" w:hanging="480" w:hangingChars="200"/>
        <w:jc w:val="left"/>
        <w:textAlignment w:val="auto"/>
      </w:pPr>
      <w:r>
        <w:rPr>
          <w:rFonts w:ascii="宋体" w:hAnsi="宋体" w:cs="宋体"/>
          <w:color w:val="auto"/>
          <w:sz w:val="24"/>
          <w:szCs w:val="24"/>
        </w:rPr>
        <w:t>高上一轮报价，否则报价无效；</w:t>
      </w:r>
      <w:r>
        <w:rPr>
          <w:rFonts w:ascii="宋体" w:hAnsi="宋体" w:cs="宋体"/>
          <w:color w:val="auto"/>
          <w:sz w:val="24"/>
          <w:szCs w:val="24"/>
        </w:rPr>
        <w:br w:type="textWrapping"/>
      </w:r>
      <w:r>
        <w:rPr>
          <w:rFonts w:hint="eastAsia" w:ascii="宋体" w:hAnsi="宋体" w:eastAsia="宋体" w:cs="宋体"/>
          <w:color w:val="FF0000"/>
          <w:kern w:val="0"/>
          <w:sz w:val="24"/>
          <w:szCs w:val="24"/>
          <w:lang w:val="en-US" w:eastAsia="zh-CN" w:bidi="ar"/>
        </w:rPr>
        <w:t xml:space="preserve">第二步，认定低于成本价的投标报价。供应商最终报价是否低于成本价，按如下规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则进行判定：供应商最终报价提交完毕后，由</w:t>
      </w:r>
      <w:r>
        <w:rPr>
          <w:rFonts w:hint="eastAsia" w:ascii="宋体" w:hAnsi="宋体" w:eastAsia="宋体" w:cs="宋体"/>
          <w:b/>
          <w:bCs/>
          <w:color w:val="FF0000"/>
          <w:kern w:val="0"/>
          <w:sz w:val="24"/>
          <w:szCs w:val="24"/>
          <w:lang w:val="en-US" w:eastAsia="zh-CN" w:bidi="ar"/>
        </w:rPr>
        <w:t>采购人代表</w:t>
      </w:r>
      <w:r>
        <w:rPr>
          <w:rFonts w:hint="eastAsia" w:ascii="宋体" w:hAnsi="宋体" w:eastAsia="宋体" w:cs="宋体"/>
          <w:color w:val="FF0000"/>
          <w:kern w:val="0"/>
          <w:sz w:val="24"/>
          <w:szCs w:val="24"/>
          <w:lang w:val="en-US" w:eastAsia="zh-CN" w:bidi="ar"/>
        </w:rPr>
        <w:t xml:space="preserve">在监督人员监督下，在开标现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场采用</w:t>
      </w:r>
      <w:r>
        <w:rPr>
          <w:rFonts w:hint="eastAsia" w:ascii="宋体" w:hAnsi="宋体" w:eastAsia="宋体" w:cs="宋体"/>
          <w:b/>
          <w:bCs/>
          <w:color w:val="FF0000"/>
          <w:kern w:val="0"/>
          <w:sz w:val="24"/>
          <w:szCs w:val="24"/>
          <w:lang w:val="en-US" w:eastAsia="zh-CN" w:bidi="ar"/>
        </w:rPr>
        <w:t>“双随机”方法抽取系数</w:t>
      </w:r>
      <w:r>
        <w:rPr>
          <w:rFonts w:hint="eastAsia" w:ascii="宋体" w:hAnsi="宋体" w:eastAsia="宋体" w:cs="宋体"/>
          <w:color w:val="FF0000"/>
          <w:kern w:val="0"/>
          <w:sz w:val="24"/>
          <w:szCs w:val="24"/>
          <w:lang w:val="en-US" w:eastAsia="zh-CN" w:bidi="ar"/>
        </w:rPr>
        <w:t xml:space="preserve">（系数值共 7 个，分别为：92%，93%，94%，95%、96%、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97%、98%）。凡供应商最终报价低于所有有效的供应商最终报价算术平均数与抽中系数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 xml:space="preserve">的乘积的（计算结果保留两位小数），均按低于成本价判定，该供应商报价按无效报价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pPr>
      <w:r>
        <w:rPr>
          <w:rFonts w:hint="eastAsia" w:ascii="宋体" w:hAnsi="宋体" w:eastAsia="宋体" w:cs="宋体"/>
          <w:color w:val="FF0000"/>
          <w:kern w:val="0"/>
          <w:sz w:val="24"/>
          <w:szCs w:val="24"/>
          <w:lang w:val="en-US" w:eastAsia="zh-CN" w:bidi="ar"/>
        </w:rPr>
        <w:t>处理，不再进行后续评审，不得被推荐为成交供应商。</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cs="宋体"/>
          <w:color w:val="FF0000"/>
          <w:sz w:val="24"/>
          <w:szCs w:val="24"/>
          <w:lang w:val="en-US" w:eastAsia="zh-CN"/>
        </w:rPr>
      </w:pPr>
      <w:r>
        <w:rPr>
          <w:rFonts w:hint="eastAsia" w:ascii="宋体" w:hAnsi="宋体" w:cs="宋体"/>
          <w:color w:val="FF0000"/>
          <w:sz w:val="24"/>
          <w:szCs w:val="24"/>
          <w:lang w:eastAsia="zh-CN"/>
        </w:rPr>
        <w:t>“双随机”抽取系数操作规程统一如下：分两个环节，（</w:t>
      </w:r>
      <w:r>
        <w:rPr>
          <w:rFonts w:hint="eastAsia" w:ascii="宋体" w:hAnsi="宋体" w:cs="宋体"/>
          <w:color w:val="FF0000"/>
          <w:sz w:val="24"/>
          <w:szCs w:val="24"/>
          <w:lang w:val="en-US" w:eastAsia="zh-CN"/>
        </w:rPr>
        <w:t>1</w:t>
      </w:r>
      <w:r>
        <w:rPr>
          <w:rFonts w:hint="eastAsia" w:ascii="宋体" w:hAnsi="宋体" w:cs="宋体"/>
          <w:color w:val="FF0000"/>
          <w:sz w:val="24"/>
          <w:szCs w:val="24"/>
          <w:lang w:eastAsia="zh-CN"/>
        </w:rPr>
        <w:t>）在监督人员监督下，招标代理工作人员先检查摇号机状态，确认摇号机工作状态正常后，向摇号机中随机放入</w:t>
      </w:r>
      <w:r>
        <w:rPr>
          <w:rFonts w:hint="eastAsia" w:ascii="宋体" w:hAnsi="宋体" w:cs="宋体"/>
          <w:color w:val="FF0000"/>
          <w:sz w:val="24"/>
          <w:szCs w:val="24"/>
          <w:lang w:val="en-US" w:eastAsia="zh-CN"/>
        </w:rPr>
        <w:t>14个号码球（号码球无需连号），由采购人代表分7次按压抽取按钮，分别摇出7个号码球，摇出的7个号码球按出球先后顺序，分别对应</w:t>
      </w:r>
      <w:r>
        <w:rPr>
          <w:rFonts w:ascii="宋体" w:hAnsi="宋体" w:cs="宋体"/>
          <w:color w:val="FF0000"/>
          <w:sz w:val="24"/>
          <w:szCs w:val="24"/>
        </w:rPr>
        <w:t>92%，93%，94%，95%、96%、97%、98%</w:t>
      </w:r>
      <w:r>
        <w:rPr>
          <w:rFonts w:hint="eastAsia" w:ascii="宋体" w:hAnsi="宋体" w:cs="宋体"/>
          <w:color w:val="FF0000"/>
          <w:sz w:val="24"/>
          <w:szCs w:val="24"/>
          <w:lang w:eastAsia="zh-CN"/>
        </w:rPr>
        <w:t>共</w:t>
      </w:r>
      <w:r>
        <w:rPr>
          <w:rFonts w:hint="eastAsia" w:ascii="宋体" w:hAnsi="宋体" w:cs="宋体"/>
          <w:color w:val="FF0000"/>
          <w:sz w:val="24"/>
          <w:szCs w:val="24"/>
          <w:lang w:val="en-US" w:eastAsia="zh-CN"/>
        </w:rPr>
        <w:t>7个系数：（2）招标代理工作人员清空摇号机后，再将上述摇出的7个号码球依次放入摇号机中，再由采购人代表从中摇出一个号码球，摇出的这个号码球对应的系数，即为本项目的抽中系数。</w:t>
      </w:r>
    </w:p>
    <w:p>
      <w:pPr>
        <w:pStyle w:val="99"/>
        <w:keepNext w:val="0"/>
        <w:keepLines w:val="0"/>
        <w:pageBreakBefore w:val="0"/>
        <w:pBdr>
          <w:bottom w:val="none" w:color="auto" w:sz="0" w:space="0"/>
        </w:pBdr>
        <w:tabs>
          <w:tab w:val="clear" w:pos="4153"/>
          <w:tab w:val="clear" w:pos="8306"/>
        </w:tabs>
        <w:kinsoku/>
        <w:wordWrap/>
        <w:overflowPunct/>
        <w:topLinePunct w:val="0"/>
        <w:autoSpaceDE/>
        <w:autoSpaceDN/>
        <w:bidi w:val="0"/>
        <w:adjustRightInd/>
        <w:snapToGrid/>
        <w:spacing w:line="440" w:lineRule="exact"/>
        <w:ind w:left="0" w:leftChars="0" w:firstLine="480" w:firstLineChars="200"/>
        <w:jc w:val="both"/>
        <w:textAlignment w:val="auto"/>
      </w:pPr>
      <w:r>
        <w:rPr>
          <w:rFonts w:hint="eastAsia" w:ascii="宋体" w:hAnsi="宋体" w:cs="宋体"/>
          <w:color w:val="FF0000"/>
          <w:sz w:val="24"/>
          <w:szCs w:val="24"/>
          <w:lang w:val="en-US" w:eastAsia="zh-CN"/>
        </w:rPr>
        <w:t>（3）抽取工作相关要求。一是除遇设备或网络故障外，招标代理机构应保证整个抽取过程视频通过网上开标大厅向所有供应商开放，保证抽取工作公开透明；二是招标代理机构要将上述抽取过程简要情况（特别是依次摇出的7个号码球球号分别是多少？最终摇中的号码球球号及对应系数同步实时公布）在网上开标大厅实时同步公布，如遇系统故障，无法实时公布，应报现场监督人员确认并记录在案备查；三是上述系数抽取过程，招标代理应制作抽取结果记录表，由采购人代表、监督人员、招标代理工作人员三方签字确认；四是除摇号机突遇故障无法继续使用并报现场监督人员和交易中心管理人员检查确认外，同一个项目整个摇号抽取过程中应使用同一台摇号机，中途不得更换。五是除遇设备或网络故障外，招标代理机构原则上应在最终报价结束时间截止后半小时内组织完成系数抽取工作，并向所有供应商公布抽取结果；六是如有招标人或招标代理机构未按上述统一规程要求开展“双随机”抽取系数，经监督部门调查确认属实的，抽取结果及依据此抽取结果进一步作出的评审结论一律无效，监督部门将视情作出重新组织抽取或项目重新组织采购的处理决定，并对相关违规人员予以处理。</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left="0" w:leftChars="0" w:firstLine="480" w:firstLineChars="200"/>
        <w:textAlignment w:val="auto"/>
        <w:rPr>
          <w:rFonts w:ascii="宋体" w:hAnsi="宋体" w:cs="宋体"/>
          <w:color w:val="auto"/>
          <w:sz w:val="24"/>
          <w:szCs w:val="24"/>
        </w:rPr>
      </w:pPr>
      <w:r>
        <w:rPr>
          <w:rFonts w:ascii="宋体" w:hAnsi="宋体" w:cs="宋体"/>
          <w:color w:val="auto"/>
          <w:sz w:val="24"/>
          <w:szCs w:val="24"/>
        </w:rPr>
        <w:t>第三步，特殊情况处理。若上述评审均合格的前三名供应商中，排序第一的（即：</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经评审合格的最终报价最低的）供应商有两家或两家以上时，则由采购人按照公开、公</w:t>
      </w:r>
    </w:p>
    <w:p>
      <w:pPr>
        <w:keepNext w:val="0"/>
        <w:keepLines w:val="0"/>
        <w:pageBreakBefore w:val="0"/>
        <w:tabs>
          <w:tab w:val="left" w:pos="900"/>
        </w:tabs>
        <w:kinsoku/>
        <w:wordWrap/>
        <w:overflowPunct/>
        <w:topLinePunct w:val="0"/>
        <w:autoSpaceDE/>
        <w:autoSpaceDN/>
        <w:bidi w:val="0"/>
        <w:adjustRightInd/>
        <w:snapToGrid/>
        <w:spacing w:line="440" w:lineRule="exact"/>
        <w:ind w:left="480" w:leftChars="0" w:hanging="480" w:hangingChars="200"/>
        <w:textAlignment w:val="auto"/>
        <w:rPr>
          <w:rFonts w:ascii="宋体" w:hAnsi="宋体" w:cs="宋体"/>
          <w:color w:val="auto"/>
          <w:sz w:val="24"/>
          <w:szCs w:val="24"/>
        </w:rPr>
      </w:pPr>
      <w:r>
        <w:rPr>
          <w:rFonts w:ascii="宋体" w:hAnsi="宋体" w:cs="宋体"/>
          <w:color w:val="auto"/>
          <w:sz w:val="24"/>
          <w:szCs w:val="24"/>
        </w:rPr>
        <w:t>平、公正的原则，于开标当天在开标现场在监督人员监督下公开确定成交供应商。具体</w:t>
      </w:r>
    </w:p>
    <w:p>
      <w:pPr>
        <w:keepNext w:val="0"/>
        <w:keepLines w:val="0"/>
        <w:pageBreakBefore w:val="0"/>
        <w:tabs>
          <w:tab w:val="left" w:pos="900"/>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4"/>
          <w:szCs w:val="24"/>
        </w:rPr>
      </w:pPr>
      <w:r>
        <w:rPr>
          <w:rFonts w:ascii="宋体" w:hAnsi="宋体" w:cs="宋体"/>
          <w:color w:val="auto"/>
          <w:sz w:val="24"/>
          <w:szCs w:val="24"/>
        </w:rPr>
        <w:t>的公开确定方式由采购人决定。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7、供应商必须在规定的时间内将自己在谈判中作出的澄清、变动以及最终的报价，经法定代表人或被授权代表签字后，提交给谈判小组。</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spacing w:line="43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spacing w:line="43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spacing w:line="43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spacing w:line="43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spacing w:line="43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spacing w:line="43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spacing w:line="430" w:lineRule="exact"/>
        <w:ind w:firstLine="480" w:firstLineChars="200"/>
        <w:rPr>
          <w:rFonts w:ascii="宋体" w:hAnsi="宋体"/>
          <w:sz w:val="24"/>
          <w:szCs w:val="24"/>
        </w:rPr>
      </w:pPr>
      <w:r>
        <w:rPr>
          <w:rFonts w:hint="eastAsia" w:ascii="宋体" w:hAnsi="宋体"/>
          <w:sz w:val="24"/>
          <w:szCs w:val="24"/>
        </w:rPr>
        <w:t>（5）因重大变故，采购任务取消的。</w:t>
      </w:r>
    </w:p>
    <w:p>
      <w:pPr>
        <w:spacing w:line="430" w:lineRule="exact"/>
        <w:ind w:firstLine="480" w:firstLineChars="200"/>
        <w:rPr>
          <w:rFonts w:ascii="宋体" w:hAnsi="宋体"/>
          <w:sz w:val="24"/>
          <w:szCs w:val="24"/>
        </w:rPr>
      </w:pPr>
      <w:r>
        <w:rPr>
          <w:rFonts w:hint="eastAsia" w:ascii="宋体" w:hAnsi="宋体"/>
          <w:sz w:val="24"/>
          <w:szCs w:val="24"/>
        </w:rPr>
        <w:t>3、重新组织谈判，采购单位将通过</w:t>
      </w:r>
      <w:r>
        <w:rPr>
          <w:rFonts w:hint="eastAsia" w:ascii="宋体" w:hAnsi="宋体"/>
          <w:sz w:val="24"/>
          <w:szCs w:val="24"/>
          <w:lang w:eastAsia="zh-CN"/>
        </w:rPr>
        <w:t>霍山永达工程咨询有限公司网站</w:t>
      </w:r>
      <w:r>
        <w:rPr>
          <w:rFonts w:hint="eastAsia" w:ascii="宋体" w:hAnsi="宋体"/>
          <w:sz w:val="24"/>
          <w:szCs w:val="24"/>
        </w:rPr>
        <w:t>进行公告。</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spacing w:line="43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30"/>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4"/>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4"/>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p>
        </w:tc>
        <w:tc>
          <w:tcPr>
            <w:tcW w:w="6038" w:type="dxa"/>
            <w:vAlign w:val="center"/>
          </w:tcPr>
          <w:p>
            <w:pPr>
              <w:rPr>
                <w:rFonts w:hint="eastAsia" w:ascii="宋体" w:hAnsi="宋体" w:eastAsia="宋体" w:cs="宋体"/>
                <w:sz w:val="24"/>
                <w:lang w:val="en-US" w:eastAsia="zh-CN"/>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5601"/>
      <w:bookmarkStart w:id="80" w:name="_Toc10816"/>
      <w:bookmarkStart w:id="81" w:name="_Toc6891"/>
      <w:r>
        <w:rPr>
          <w:rFonts w:hint="eastAsia" w:ascii="宋体" w:hAnsi="宋体" w:eastAsia="宋体" w:cs="宋体"/>
          <w:sz w:val="24"/>
          <w:szCs w:val="24"/>
        </w:rPr>
        <w:t>1、报价单</w:t>
      </w:r>
      <w:bookmarkEnd w:id="79"/>
      <w:bookmarkEnd w:id="8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r>
              <w:rPr>
                <w:rFonts w:hint="eastAsia" w:ascii="宋体" w:hAnsi="宋体" w:cs="宋体"/>
                <w:bCs/>
                <w:sz w:val="24"/>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r>
              <w:rPr>
                <w:rFonts w:hint="eastAsia" w:ascii="宋体" w:hAnsi="宋体" w:cs="宋体"/>
                <w:bCs/>
                <w:sz w:val="24"/>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后附营业执照、资质证书、安全生产许可证、项目经理建造师证书、项目经理安全生产考核合格证书、项目班子社保证明材料等资料原件复印件或打印件。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10696"/>
      <w:bookmarkStart w:id="86" w:name="_Toc3234"/>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30"/>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30"/>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25238"/>
      <w:bookmarkStart w:id="97" w:name="_Toc11166"/>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6"/>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5"/>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Fonts w:hint="eastAsia" w:ascii="宋体" w:hAnsi="宋体" w:cs="宋体"/>
          <w:color w:val="auto"/>
          <w:kern w:val="0"/>
          <w:szCs w:val="21"/>
        </w:rPr>
      </w:pPr>
      <w:r>
        <w:rPr>
          <w:rFonts w:hint="eastAsia" w:ascii="宋体" w:hAnsi="宋体" w:cs="宋体"/>
          <w:color w:val="auto"/>
          <w:kern w:val="0"/>
          <w:szCs w:val="21"/>
        </w:rPr>
        <w:t xml:space="preserve">日      期： </w:t>
      </w:r>
    </w:p>
    <w:p>
      <w:pPr>
        <w:ind w:firstLine="4620" w:firstLineChars="2200"/>
        <w:jc w:val="both"/>
        <w:rPr>
          <w:rFonts w:hint="eastAsia" w:ascii="宋体" w:hAnsi="宋体" w:cs="宋体"/>
          <w:color w:val="auto"/>
          <w:kern w:val="0"/>
          <w:szCs w:val="21"/>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b/>
          <w:color w:val="auto"/>
          <w:sz w:val="28"/>
          <w:szCs w:val="28"/>
        </w:rPr>
      </w:pPr>
    </w:p>
    <w:p>
      <w:pPr>
        <w:numPr>
          <w:ilvl w:val="0"/>
          <w:numId w:val="0"/>
        </w:numPr>
        <w:jc w:val="both"/>
        <w:rPr>
          <w:rFonts w:hint="eastAsia" w:ascii="宋体" w:hAnsi="宋体" w:eastAsia="宋体" w:cs="宋体"/>
          <w:b/>
          <w:kern w:val="0"/>
          <w:sz w:val="24"/>
          <w:szCs w:val="24"/>
          <w:lang w:val="en-US" w:eastAsia="zh-CN" w:bidi="ar-SA"/>
        </w:rPr>
      </w:pPr>
      <w:bookmarkStart w:id="103" w:name="_Toc3426"/>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b/>
          <w:kern w:val="0"/>
          <w:sz w:val="24"/>
          <w:szCs w:val="24"/>
          <w:lang w:val="en-US" w:eastAsia="zh-CN" w:bidi="ar-SA"/>
        </w:rPr>
      </w:pP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kern w:val="0"/>
          <w:sz w:val="24"/>
          <w:szCs w:val="24"/>
          <w:lang w:val="en-US" w:eastAsia="zh-CN" w:bidi="ar-SA"/>
        </w:rPr>
        <w:t>附件八</w:t>
      </w:r>
      <w:bookmarkEnd w:id="103"/>
      <w:r>
        <w:rPr>
          <w:rFonts w:hint="eastAsia" w:ascii="宋体" w:hAnsi="宋体" w:eastAsia="宋体" w:cs="宋体"/>
          <w:b/>
          <w:kern w:val="0"/>
          <w:sz w:val="24"/>
          <w:szCs w:val="24"/>
          <w:lang w:val="en-US" w:eastAsia="zh-CN" w:bidi="ar-SA"/>
        </w:rPr>
        <w:t xml:space="preserve"> </w:t>
      </w:r>
      <w:r>
        <w:rPr>
          <w:rFonts w:hint="eastAsia" w:ascii="宋体" w:hAnsi="宋体" w:eastAsia="宋体" w:cs="宋体"/>
          <w:sz w:val="24"/>
          <w:szCs w:val="24"/>
          <w:lang w:val="en-US" w:eastAsia="zh-CN"/>
        </w:rPr>
        <w:t xml:space="preserve"> </w:t>
      </w:r>
    </w:p>
    <w:p>
      <w:pPr>
        <w:jc w:val="center"/>
        <w:rPr>
          <w:rFonts w:ascii="宋体" w:hAnsi="宋体"/>
          <w:sz w:val="24"/>
          <w:szCs w:val="24"/>
        </w:rPr>
      </w:pPr>
      <w:bookmarkStart w:id="104" w:name="_Toc19723"/>
      <w:bookmarkStart w:id="105" w:name="_Toc28850"/>
      <w:r>
        <w:rPr>
          <w:rFonts w:hint="eastAsia" w:ascii="宋体" w:hAnsi="宋体" w:eastAsia="宋体" w:cs="宋体"/>
          <w:b w:val="0"/>
          <w:bCs/>
          <w:sz w:val="24"/>
          <w:szCs w:val="24"/>
        </w:rPr>
        <w:t>谈判文件要求和供应商认为需要提供的其它说明和资料</w:t>
      </w:r>
      <w:bookmarkEnd w:id="104"/>
      <w:bookmarkEnd w:id="105"/>
    </w:p>
    <w:p>
      <w:pPr>
        <w:rPr>
          <w:rFonts w:hint="default"/>
          <w:lang w:val="en-US" w:eastAsia="zh-CN"/>
        </w:rPr>
      </w:pPr>
    </w:p>
    <w:bookmarkEnd w:id="102"/>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bookmarkStart w:id="106" w:name="_Toc5314"/>
      <w:bookmarkStart w:id="107" w:name="_Toc23763"/>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pStyle w:val="6"/>
        <w:keepNext w:val="0"/>
        <w:keepLines w:val="0"/>
        <w:pageBreakBefore w:val="0"/>
        <w:widowControl w:val="0"/>
        <w:kinsoku/>
        <w:wordWrap/>
        <w:overflowPunct/>
        <w:topLinePunct w:val="0"/>
        <w:autoSpaceDE/>
        <w:autoSpaceDN/>
        <w:bidi w:val="0"/>
        <w:adjustRightInd w:val="0"/>
        <w:snapToGrid/>
        <w:spacing w:before="0" w:after="0" w:line="560" w:lineRule="exact"/>
        <w:textAlignment w:val="baseline"/>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30"/>
        <w:rPr>
          <w:rFonts w:hint="eastAsia" w:ascii="宋体" w:hAnsi="宋体" w:eastAsia="宋体" w:cs="宋体"/>
          <w:sz w:val="24"/>
          <w:szCs w:val="24"/>
        </w:rPr>
      </w:pPr>
    </w:p>
    <w:p>
      <w:pPr>
        <w:pStyle w:val="6"/>
        <w:spacing w:before="0" w:after="0" w:line="560" w:lineRule="exact"/>
        <w:rPr>
          <w:rStyle w:val="115"/>
          <w:rFonts w:ascii="宋体" w:hAnsi="宋体" w:eastAsia="宋体" w:cs="宋体"/>
          <w:b/>
          <w:sz w:val="24"/>
          <w:szCs w:val="24"/>
        </w:rPr>
      </w:pPr>
      <w:r>
        <w:rPr>
          <w:rFonts w:hint="eastAsia" w:ascii="宋体" w:hAnsi="宋体" w:eastAsia="宋体" w:cs="宋体"/>
          <w:sz w:val="24"/>
          <w:szCs w:val="24"/>
        </w:rPr>
        <w:t>附件九</w:t>
      </w:r>
      <w:bookmarkEnd w:id="106"/>
      <w:bookmarkEnd w:id="107"/>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6"/>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5"/>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最终承诺报价表</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val="en-US" w:eastAsia="zh-CN"/>
        </w:rPr>
        <w:t>。</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AC794F5-49F0-44FE-B13F-E8E039C344BC}"/>
  </w:font>
  <w:font w:name="黑体">
    <w:panose1 w:val="02010609060101010101"/>
    <w:charset w:val="86"/>
    <w:family w:val="auto"/>
    <w:pitch w:val="default"/>
    <w:sig w:usb0="800002BF" w:usb1="38CF7CFA" w:usb2="00000016" w:usb3="00000000" w:csb0="00040001" w:csb1="00000000"/>
    <w:embedRegular r:id="rId2" w:fontKey="{68190E6D-AA09-432A-80DE-00A267B13D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22A9C49-8D71-4536-880F-5104A082B5D8}"/>
  </w:font>
  <w:font w:name="仿宋_GB2312">
    <w:panose1 w:val="02010609030101010101"/>
    <w:charset w:val="86"/>
    <w:family w:val="auto"/>
    <w:pitch w:val="default"/>
    <w:sig w:usb0="00000001" w:usb1="080E0000" w:usb2="00000000" w:usb3="00000000" w:csb0="00040000" w:csb1="00000000"/>
    <w:embedRegular r:id="rId4" w:fontKey="{F42879C8-1FC5-49BD-8C54-105F72F53BE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D8EB4F62-8A84-4E9E-A13C-2C63E1F18748}"/>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C0624A67-C9C0-4738-BCF6-B090E8D5FC47}"/>
  </w:font>
  <w:font w:name="华文中宋">
    <w:panose1 w:val="02010600040101010101"/>
    <w:charset w:val="86"/>
    <w:family w:val="auto"/>
    <w:pitch w:val="default"/>
    <w:sig w:usb0="00000287" w:usb1="080F0000" w:usb2="00000000" w:usb3="00000000" w:csb0="0004009F" w:csb1="DFD70000"/>
    <w:embedRegular r:id="rId7" w:fontKey="{4AFD9E0B-D49A-4BE7-A7A6-AB2EBD6B0B6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方正行楷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30</w:t>
    </w:r>
    <w:r>
      <w:rPr>
        <w:rStyle w:val="40"/>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ZWMwZDI2ODU2N2M1NTI4ZDJlMzA4NmEzNTg0ZmY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0604DC"/>
    <w:rsid w:val="014944FD"/>
    <w:rsid w:val="017E1B19"/>
    <w:rsid w:val="01DD0E32"/>
    <w:rsid w:val="01ED3B47"/>
    <w:rsid w:val="022644A3"/>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A24701"/>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F55D20"/>
    <w:rsid w:val="094A1A48"/>
    <w:rsid w:val="095F7F4C"/>
    <w:rsid w:val="09A60123"/>
    <w:rsid w:val="09AE75F4"/>
    <w:rsid w:val="09B95F2A"/>
    <w:rsid w:val="0A0C7574"/>
    <w:rsid w:val="0A424E4D"/>
    <w:rsid w:val="0AB47D8E"/>
    <w:rsid w:val="0AF769CE"/>
    <w:rsid w:val="0AF82AC1"/>
    <w:rsid w:val="0B005469"/>
    <w:rsid w:val="0B66533A"/>
    <w:rsid w:val="0B84414D"/>
    <w:rsid w:val="0BC7245A"/>
    <w:rsid w:val="0BD46BAD"/>
    <w:rsid w:val="0BE120B2"/>
    <w:rsid w:val="0CAA47CE"/>
    <w:rsid w:val="0CEC43CA"/>
    <w:rsid w:val="0CF93B4B"/>
    <w:rsid w:val="0D50431A"/>
    <w:rsid w:val="0D6921B0"/>
    <w:rsid w:val="0DD645B4"/>
    <w:rsid w:val="0DD74F5A"/>
    <w:rsid w:val="0DF1240A"/>
    <w:rsid w:val="0DF624E0"/>
    <w:rsid w:val="0DF91E0E"/>
    <w:rsid w:val="0E21417E"/>
    <w:rsid w:val="0E346850"/>
    <w:rsid w:val="0E404088"/>
    <w:rsid w:val="0E78305D"/>
    <w:rsid w:val="0EA113FA"/>
    <w:rsid w:val="0ECA11CC"/>
    <w:rsid w:val="0EDB0027"/>
    <w:rsid w:val="0EE028AD"/>
    <w:rsid w:val="0F0019B5"/>
    <w:rsid w:val="0F390E8E"/>
    <w:rsid w:val="0F8F57EF"/>
    <w:rsid w:val="0FF97625"/>
    <w:rsid w:val="0FFA6300"/>
    <w:rsid w:val="10044E18"/>
    <w:rsid w:val="1018304A"/>
    <w:rsid w:val="10722611"/>
    <w:rsid w:val="110475FD"/>
    <w:rsid w:val="11200448"/>
    <w:rsid w:val="113F7E82"/>
    <w:rsid w:val="119066D9"/>
    <w:rsid w:val="11A335B5"/>
    <w:rsid w:val="11AE35E8"/>
    <w:rsid w:val="11DD1222"/>
    <w:rsid w:val="12123D33"/>
    <w:rsid w:val="1219428E"/>
    <w:rsid w:val="129C35E8"/>
    <w:rsid w:val="12C42FA9"/>
    <w:rsid w:val="1303465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6864"/>
    <w:rsid w:val="163D0A87"/>
    <w:rsid w:val="16442095"/>
    <w:rsid w:val="16991EF7"/>
    <w:rsid w:val="170F0CFF"/>
    <w:rsid w:val="173850A7"/>
    <w:rsid w:val="174C0AC9"/>
    <w:rsid w:val="177B4CDC"/>
    <w:rsid w:val="17BA7FA6"/>
    <w:rsid w:val="185F2011"/>
    <w:rsid w:val="18C563A4"/>
    <w:rsid w:val="18C878F2"/>
    <w:rsid w:val="18FB18A3"/>
    <w:rsid w:val="192B2CC7"/>
    <w:rsid w:val="197D3E49"/>
    <w:rsid w:val="198B1495"/>
    <w:rsid w:val="1A0725B2"/>
    <w:rsid w:val="1A630ED2"/>
    <w:rsid w:val="1A6C248D"/>
    <w:rsid w:val="1AD23FC4"/>
    <w:rsid w:val="1AE747FC"/>
    <w:rsid w:val="1AF45622"/>
    <w:rsid w:val="1B5A7D5C"/>
    <w:rsid w:val="1B7B26E1"/>
    <w:rsid w:val="1B8A33D7"/>
    <w:rsid w:val="1B98664F"/>
    <w:rsid w:val="1C010930"/>
    <w:rsid w:val="1C1A0C17"/>
    <w:rsid w:val="1C32741A"/>
    <w:rsid w:val="1C405AE5"/>
    <w:rsid w:val="1C577EAD"/>
    <w:rsid w:val="1D0C75F3"/>
    <w:rsid w:val="1D41765A"/>
    <w:rsid w:val="1D5A219E"/>
    <w:rsid w:val="1D905BC0"/>
    <w:rsid w:val="1D960483"/>
    <w:rsid w:val="1DC817B3"/>
    <w:rsid w:val="1DE5157B"/>
    <w:rsid w:val="1DF15284"/>
    <w:rsid w:val="1E071163"/>
    <w:rsid w:val="1E0A2DCB"/>
    <w:rsid w:val="1E5F77E6"/>
    <w:rsid w:val="1EE35BC3"/>
    <w:rsid w:val="1F171CFB"/>
    <w:rsid w:val="1F2B5C48"/>
    <w:rsid w:val="1F3C13B6"/>
    <w:rsid w:val="1F4B49D6"/>
    <w:rsid w:val="1F803199"/>
    <w:rsid w:val="1FCB070D"/>
    <w:rsid w:val="1FCF6F8B"/>
    <w:rsid w:val="1FF85069"/>
    <w:rsid w:val="20E916A5"/>
    <w:rsid w:val="20F41885"/>
    <w:rsid w:val="214679AB"/>
    <w:rsid w:val="2163607F"/>
    <w:rsid w:val="21993B18"/>
    <w:rsid w:val="22464B8D"/>
    <w:rsid w:val="224D2A1A"/>
    <w:rsid w:val="229A201B"/>
    <w:rsid w:val="22B67E76"/>
    <w:rsid w:val="23131962"/>
    <w:rsid w:val="232C687B"/>
    <w:rsid w:val="23670458"/>
    <w:rsid w:val="239974D6"/>
    <w:rsid w:val="23E266D0"/>
    <w:rsid w:val="23E4618A"/>
    <w:rsid w:val="244E3D8C"/>
    <w:rsid w:val="24B335CE"/>
    <w:rsid w:val="24F009A8"/>
    <w:rsid w:val="25786B34"/>
    <w:rsid w:val="25EF0E4B"/>
    <w:rsid w:val="269C26E3"/>
    <w:rsid w:val="26F97002"/>
    <w:rsid w:val="270D6E87"/>
    <w:rsid w:val="272E2D63"/>
    <w:rsid w:val="27410CB9"/>
    <w:rsid w:val="276D441A"/>
    <w:rsid w:val="2861396F"/>
    <w:rsid w:val="28AF6A0B"/>
    <w:rsid w:val="28B44010"/>
    <w:rsid w:val="29044E0B"/>
    <w:rsid w:val="29384EA8"/>
    <w:rsid w:val="295039A3"/>
    <w:rsid w:val="29E26463"/>
    <w:rsid w:val="2A07065D"/>
    <w:rsid w:val="2A0A08C3"/>
    <w:rsid w:val="2A534564"/>
    <w:rsid w:val="2A573A70"/>
    <w:rsid w:val="2AE267A7"/>
    <w:rsid w:val="2B404B09"/>
    <w:rsid w:val="2B6E6470"/>
    <w:rsid w:val="2BFA65A3"/>
    <w:rsid w:val="2BFF63EA"/>
    <w:rsid w:val="2C101F53"/>
    <w:rsid w:val="2C353BD0"/>
    <w:rsid w:val="2C8F0922"/>
    <w:rsid w:val="2CA521C2"/>
    <w:rsid w:val="2CBD48CE"/>
    <w:rsid w:val="2CE211B2"/>
    <w:rsid w:val="2D657944"/>
    <w:rsid w:val="2DBD5025"/>
    <w:rsid w:val="2E015B36"/>
    <w:rsid w:val="2E275F81"/>
    <w:rsid w:val="2E28730F"/>
    <w:rsid w:val="2E4E51C2"/>
    <w:rsid w:val="2E520EAC"/>
    <w:rsid w:val="2E77681E"/>
    <w:rsid w:val="2F4B2B19"/>
    <w:rsid w:val="2F6246CC"/>
    <w:rsid w:val="2F9F2EBA"/>
    <w:rsid w:val="2F9F5447"/>
    <w:rsid w:val="2FC53683"/>
    <w:rsid w:val="2FE97A5F"/>
    <w:rsid w:val="2FFE4B1D"/>
    <w:rsid w:val="300B44EE"/>
    <w:rsid w:val="300C557A"/>
    <w:rsid w:val="305A47DE"/>
    <w:rsid w:val="30626A70"/>
    <w:rsid w:val="30671D75"/>
    <w:rsid w:val="309E348C"/>
    <w:rsid w:val="30CB35CF"/>
    <w:rsid w:val="3122073D"/>
    <w:rsid w:val="31394322"/>
    <w:rsid w:val="3184082E"/>
    <w:rsid w:val="32214672"/>
    <w:rsid w:val="32431C99"/>
    <w:rsid w:val="32583B43"/>
    <w:rsid w:val="32617B06"/>
    <w:rsid w:val="328304A8"/>
    <w:rsid w:val="32BC5F4D"/>
    <w:rsid w:val="33154A22"/>
    <w:rsid w:val="333F433A"/>
    <w:rsid w:val="33684649"/>
    <w:rsid w:val="33E651C3"/>
    <w:rsid w:val="33FE364D"/>
    <w:rsid w:val="3429115A"/>
    <w:rsid w:val="34407F01"/>
    <w:rsid w:val="34427974"/>
    <w:rsid w:val="34F2580B"/>
    <w:rsid w:val="354A5F40"/>
    <w:rsid w:val="35803C3D"/>
    <w:rsid w:val="35F42A51"/>
    <w:rsid w:val="35F965A0"/>
    <w:rsid w:val="35FFEC5E"/>
    <w:rsid w:val="36024564"/>
    <w:rsid w:val="36126E3E"/>
    <w:rsid w:val="361F260A"/>
    <w:rsid w:val="36276335"/>
    <w:rsid w:val="362E1029"/>
    <w:rsid w:val="36981B5D"/>
    <w:rsid w:val="36A9634B"/>
    <w:rsid w:val="36BB6BD4"/>
    <w:rsid w:val="36D079C8"/>
    <w:rsid w:val="36EB7CE0"/>
    <w:rsid w:val="36FD3E6E"/>
    <w:rsid w:val="376501BF"/>
    <w:rsid w:val="377D1279"/>
    <w:rsid w:val="379A5B68"/>
    <w:rsid w:val="37D716E7"/>
    <w:rsid w:val="37E82428"/>
    <w:rsid w:val="37ED2CCA"/>
    <w:rsid w:val="38631B53"/>
    <w:rsid w:val="386D5472"/>
    <w:rsid w:val="390327BB"/>
    <w:rsid w:val="394E33E8"/>
    <w:rsid w:val="396C6CF4"/>
    <w:rsid w:val="398E6F62"/>
    <w:rsid w:val="39BA6046"/>
    <w:rsid w:val="3A290002"/>
    <w:rsid w:val="3A2E128F"/>
    <w:rsid w:val="3A7C5B6F"/>
    <w:rsid w:val="3A8F3EBA"/>
    <w:rsid w:val="3A920D71"/>
    <w:rsid w:val="3AB10259"/>
    <w:rsid w:val="3ABA6222"/>
    <w:rsid w:val="3AD674BD"/>
    <w:rsid w:val="3B1B510F"/>
    <w:rsid w:val="3B301F44"/>
    <w:rsid w:val="3B3716DA"/>
    <w:rsid w:val="3B9373E6"/>
    <w:rsid w:val="3BAE4829"/>
    <w:rsid w:val="3BDF73C5"/>
    <w:rsid w:val="3C017E77"/>
    <w:rsid w:val="3C05453A"/>
    <w:rsid w:val="3C34130B"/>
    <w:rsid w:val="3C4C39CC"/>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EE5020"/>
    <w:rsid w:val="40F16A8E"/>
    <w:rsid w:val="411C5418"/>
    <w:rsid w:val="412545BE"/>
    <w:rsid w:val="41314E40"/>
    <w:rsid w:val="4184340D"/>
    <w:rsid w:val="41E21275"/>
    <w:rsid w:val="42F6152E"/>
    <w:rsid w:val="42FF6CFF"/>
    <w:rsid w:val="43075E6E"/>
    <w:rsid w:val="43771108"/>
    <w:rsid w:val="438C4E1A"/>
    <w:rsid w:val="44174028"/>
    <w:rsid w:val="446523D2"/>
    <w:rsid w:val="44765180"/>
    <w:rsid w:val="44BB500C"/>
    <w:rsid w:val="44DA0696"/>
    <w:rsid w:val="44E45943"/>
    <w:rsid w:val="4583380E"/>
    <w:rsid w:val="45993146"/>
    <w:rsid w:val="459E79F0"/>
    <w:rsid w:val="45EB3538"/>
    <w:rsid w:val="46440499"/>
    <w:rsid w:val="46771AC0"/>
    <w:rsid w:val="47347438"/>
    <w:rsid w:val="476D46F8"/>
    <w:rsid w:val="47777325"/>
    <w:rsid w:val="47867C8A"/>
    <w:rsid w:val="479B001B"/>
    <w:rsid w:val="47D21CE6"/>
    <w:rsid w:val="47F52C67"/>
    <w:rsid w:val="48623AD3"/>
    <w:rsid w:val="486274F2"/>
    <w:rsid w:val="48876507"/>
    <w:rsid w:val="48A14890"/>
    <w:rsid w:val="48BD0CBA"/>
    <w:rsid w:val="4A4C0CEF"/>
    <w:rsid w:val="4A67403B"/>
    <w:rsid w:val="4A734E79"/>
    <w:rsid w:val="4AD27698"/>
    <w:rsid w:val="4B1B114F"/>
    <w:rsid w:val="4B250368"/>
    <w:rsid w:val="4B7F6C9B"/>
    <w:rsid w:val="4B857DCA"/>
    <w:rsid w:val="4BB01238"/>
    <w:rsid w:val="4C2F1AF1"/>
    <w:rsid w:val="4C3F1A69"/>
    <w:rsid w:val="4C4C7D4D"/>
    <w:rsid w:val="4C692E82"/>
    <w:rsid w:val="4C763A08"/>
    <w:rsid w:val="4C8C4AEC"/>
    <w:rsid w:val="4C9B795E"/>
    <w:rsid w:val="4C9C7CB9"/>
    <w:rsid w:val="4CA216B0"/>
    <w:rsid w:val="4CA7336B"/>
    <w:rsid w:val="4D001539"/>
    <w:rsid w:val="4D060FF1"/>
    <w:rsid w:val="4D714797"/>
    <w:rsid w:val="4D9E7AA8"/>
    <w:rsid w:val="4D9F0EEA"/>
    <w:rsid w:val="4DA60964"/>
    <w:rsid w:val="4E2F6DEC"/>
    <w:rsid w:val="4E3C703C"/>
    <w:rsid w:val="4E6C673E"/>
    <w:rsid w:val="4F095D32"/>
    <w:rsid w:val="4F1A4882"/>
    <w:rsid w:val="4F3C4DEC"/>
    <w:rsid w:val="4F7C5051"/>
    <w:rsid w:val="4FDB2778"/>
    <w:rsid w:val="504900D3"/>
    <w:rsid w:val="50653B4A"/>
    <w:rsid w:val="50EA2B95"/>
    <w:rsid w:val="516620A8"/>
    <w:rsid w:val="5175589A"/>
    <w:rsid w:val="525A1D1D"/>
    <w:rsid w:val="526E31F5"/>
    <w:rsid w:val="52892F5B"/>
    <w:rsid w:val="52C04276"/>
    <w:rsid w:val="52F076BA"/>
    <w:rsid w:val="52F61709"/>
    <w:rsid w:val="532C190B"/>
    <w:rsid w:val="54073585"/>
    <w:rsid w:val="543453A5"/>
    <w:rsid w:val="544970EA"/>
    <w:rsid w:val="54843BCA"/>
    <w:rsid w:val="54D275F5"/>
    <w:rsid w:val="54DB7C79"/>
    <w:rsid w:val="54E74E26"/>
    <w:rsid w:val="55166F69"/>
    <w:rsid w:val="55580A4D"/>
    <w:rsid w:val="558B7070"/>
    <w:rsid w:val="55B45B96"/>
    <w:rsid w:val="55DC1770"/>
    <w:rsid w:val="55EB22AC"/>
    <w:rsid w:val="55FF6407"/>
    <w:rsid w:val="561133F2"/>
    <w:rsid w:val="56401CD5"/>
    <w:rsid w:val="56571FFA"/>
    <w:rsid w:val="56576C9F"/>
    <w:rsid w:val="56A92CC7"/>
    <w:rsid w:val="56D204E6"/>
    <w:rsid w:val="5772766D"/>
    <w:rsid w:val="581D5AED"/>
    <w:rsid w:val="586D09FC"/>
    <w:rsid w:val="58BD10F2"/>
    <w:rsid w:val="58CD33C2"/>
    <w:rsid w:val="596469D4"/>
    <w:rsid w:val="59BD375F"/>
    <w:rsid w:val="5A026F22"/>
    <w:rsid w:val="5A435D8A"/>
    <w:rsid w:val="5AC60A34"/>
    <w:rsid w:val="5BBC1D09"/>
    <w:rsid w:val="5BF3112F"/>
    <w:rsid w:val="5C34380B"/>
    <w:rsid w:val="5C441E45"/>
    <w:rsid w:val="5CBA4C19"/>
    <w:rsid w:val="5D194289"/>
    <w:rsid w:val="5D2C4636"/>
    <w:rsid w:val="5D8C2B4C"/>
    <w:rsid w:val="5DC32E71"/>
    <w:rsid w:val="5E402B64"/>
    <w:rsid w:val="5E473A9D"/>
    <w:rsid w:val="5E94654C"/>
    <w:rsid w:val="5EE96902"/>
    <w:rsid w:val="5F001951"/>
    <w:rsid w:val="5F724B4A"/>
    <w:rsid w:val="5F7B4311"/>
    <w:rsid w:val="5F912AC4"/>
    <w:rsid w:val="5FA35FE5"/>
    <w:rsid w:val="5FD14724"/>
    <w:rsid w:val="600C4824"/>
    <w:rsid w:val="60153D3C"/>
    <w:rsid w:val="60700F30"/>
    <w:rsid w:val="607B7DDA"/>
    <w:rsid w:val="60E87B88"/>
    <w:rsid w:val="60F36AC5"/>
    <w:rsid w:val="61A76748"/>
    <w:rsid w:val="61D91A2E"/>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58725B"/>
    <w:rsid w:val="6BA94127"/>
    <w:rsid w:val="6BFE46EA"/>
    <w:rsid w:val="6C437057"/>
    <w:rsid w:val="6C7F53F2"/>
    <w:rsid w:val="6C8B20CC"/>
    <w:rsid w:val="6CB752B5"/>
    <w:rsid w:val="6CEE487B"/>
    <w:rsid w:val="6D616AB2"/>
    <w:rsid w:val="6DD54955"/>
    <w:rsid w:val="6E290AC9"/>
    <w:rsid w:val="6E7A2566"/>
    <w:rsid w:val="6EB71B5D"/>
    <w:rsid w:val="6F447A17"/>
    <w:rsid w:val="6F4B16BB"/>
    <w:rsid w:val="6F773253"/>
    <w:rsid w:val="6FD11419"/>
    <w:rsid w:val="704217E5"/>
    <w:rsid w:val="7076354C"/>
    <w:rsid w:val="707E56F3"/>
    <w:rsid w:val="70F6444B"/>
    <w:rsid w:val="71152000"/>
    <w:rsid w:val="71951D13"/>
    <w:rsid w:val="721756F7"/>
    <w:rsid w:val="7231680E"/>
    <w:rsid w:val="72BD5AD1"/>
    <w:rsid w:val="72C87BB3"/>
    <w:rsid w:val="72D3551B"/>
    <w:rsid w:val="73584FE4"/>
    <w:rsid w:val="735F6117"/>
    <w:rsid w:val="73A40AD9"/>
    <w:rsid w:val="73BC3875"/>
    <w:rsid w:val="73FC40C7"/>
    <w:rsid w:val="745D4D21"/>
    <w:rsid w:val="74EE65C9"/>
    <w:rsid w:val="750D2EF3"/>
    <w:rsid w:val="752F342A"/>
    <w:rsid w:val="75C509F0"/>
    <w:rsid w:val="76CB6D18"/>
    <w:rsid w:val="76ED37EF"/>
    <w:rsid w:val="770F21D1"/>
    <w:rsid w:val="77667E4C"/>
    <w:rsid w:val="77BF7315"/>
    <w:rsid w:val="77CE218A"/>
    <w:rsid w:val="78532959"/>
    <w:rsid w:val="78A7019A"/>
    <w:rsid w:val="78DF6F7C"/>
    <w:rsid w:val="78FB12B4"/>
    <w:rsid w:val="790A6E9A"/>
    <w:rsid w:val="791870B6"/>
    <w:rsid w:val="796D5B63"/>
    <w:rsid w:val="798D055E"/>
    <w:rsid w:val="79B2097F"/>
    <w:rsid w:val="79BA3B0E"/>
    <w:rsid w:val="79E33FE0"/>
    <w:rsid w:val="7A067586"/>
    <w:rsid w:val="7A287679"/>
    <w:rsid w:val="7A657835"/>
    <w:rsid w:val="7ABB6962"/>
    <w:rsid w:val="7AF4539C"/>
    <w:rsid w:val="7BBD37FF"/>
    <w:rsid w:val="7BBFE36C"/>
    <w:rsid w:val="7C013D85"/>
    <w:rsid w:val="7C662C4B"/>
    <w:rsid w:val="7CB32C8C"/>
    <w:rsid w:val="7D241628"/>
    <w:rsid w:val="7D733ECF"/>
    <w:rsid w:val="7DB40A20"/>
    <w:rsid w:val="7DC2451F"/>
    <w:rsid w:val="7DCE57EF"/>
    <w:rsid w:val="7DE7143A"/>
    <w:rsid w:val="7E136A50"/>
    <w:rsid w:val="7E410F7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8"/>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9"/>
    <w:qFormat/>
    <w:uiPriority w:val="0"/>
    <w:pPr>
      <w:keepNext/>
      <w:outlineLvl w:val="0"/>
    </w:pPr>
    <w:rPr>
      <w:sz w:val="28"/>
      <w:szCs w:val="24"/>
    </w:rPr>
  </w:style>
  <w:style w:type="paragraph" w:styleId="6">
    <w:name w:val="heading 2"/>
    <w:basedOn w:val="1"/>
    <w:next w:val="1"/>
    <w:link w:val="115"/>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1"/>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2"/>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400" w:lineRule="atLeast"/>
      <w:ind w:firstLine="426"/>
    </w:pPr>
    <w:rPr>
      <w:sz w:val="24"/>
      <w:szCs w:val="20"/>
    </w:rPr>
  </w:style>
  <w:style w:type="paragraph" w:styleId="3">
    <w:name w:val="Body Text"/>
    <w:basedOn w:val="1"/>
    <w:next w:val="4"/>
    <w:link w:val="75"/>
    <w:qFormat/>
    <w:uiPriority w:val="0"/>
    <w:pPr>
      <w:spacing w:after="120"/>
    </w:pPr>
    <w:rPr>
      <w:szCs w:val="24"/>
    </w:rPr>
  </w:style>
  <w:style w:type="paragraph" w:customStyle="1" w:styleId="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autoRedefine/>
    <w:qFormat/>
    <w:uiPriority w:val="0"/>
    <w:pPr>
      <w:ind w:left="2520" w:leftChars="1200"/>
    </w:pPr>
  </w:style>
  <w:style w:type="paragraph" w:styleId="10">
    <w:name w:val="Document Map"/>
    <w:basedOn w:val="1"/>
    <w:link w:val="86"/>
    <w:autoRedefine/>
    <w:qFormat/>
    <w:uiPriority w:val="0"/>
    <w:pPr>
      <w:shd w:val="clear" w:color="auto" w:fill="000080"/>
    </w:pPr>
  </w:style>
  <w:style w:type="paragraph" w:styleId="11">
    <w:name w:val="annotation text"/>
    <w:basedOn w:val="1"/>
    <w:link w:val="80"/>
    <w:autoRedefine/>
    <w:semiHidden/>
    <w:qFormat/>
    <w:uiPriority w:val="99"/>
    <w:pPr>
      <w:jc w:val="left"/>
    </w:pPr>
  </w:style>
  <w:style w:type="paragraph" w:styleId="12">
    <w:name w:val="Body Text 3"/>
    <w:basedOn w:val="1"/>
    <w:link w:val="100"/>
    <w:autoRedefine/>
    <w:unhideWhenUsed/>
    <w:qFormat/>
    <w:uiPriority w:val="99"/>
    <w:pPr>
      <w:spacing w:after="120"/>
    </w:pPr>
    <w:rPr>
      <w:rFonts w:ascii="Calibri" w:hAnsi="Calibri"/>
      <w:sz w:val="16"/>
      <w:szCs w:val="16"/>
      <w:lang w:val="zh-CN"/>
    </w:rPr>
  </w:style>
  <w:style w:type="paragraph" w:styleId="13">
    <w:name w:val="Body Text Indent"/>
    <w:basedOn w:val="1"/>
    <w:next w:val="14"/>
    <w:link w:val="64"/>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83"/>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3"/>
    <w:autoRedefine/>
    <w:qFormat/>
    <w:uiPriority w:val="0"/>
    <w:rPr>
      <w:rFonts w:ascii="Arial" w:hAnsi="Arial" w:eastAsia="楷体_GB2312"/>
      <w:sz w:val="28"/>
    </w:rPr>
  </w:style>
  <w:style w:type="paragraph" w:styleId="20">
    <w:name w:val="Body Text Indent 2"/>
    <w:basedOn w:val="1"/>
    <w:link w:val="66"/>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7"/>
    <w:autoRedefine/>
    <w:qFormat/>
    <w:uiPriority w:val="0"/>
    <w:rPr>
      <w:sz w:val="18"/>
      <w:szCs w:val="18"/>
    </w:rPr>
  </w:style>
  <w:style w:type="paragraph" w:styleId="22">
    <w:name w:val="footer"/>
    <w:basedOn w:val="1"/>
    <w:link w:val="58"/>
    <w:autoRedefine/>
    <w:unhideWhenUsed/>
    <w:qFormat/>
    <w:uiPriority w:val="99"/>
    <w:pPr>
      <w:tabs>
        <w:tab w:val="center" w:pos="4153"/>
        <w:tab w:val="right" w:pos="8306"/>
      </w:tabs>
      <w:snapToGrid w:val="0"/>
      <w:jc w:val="left"/>
    </w:pPr>
    <w:rPr>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toc 6"/>
    <w:basedOn w:val="1"/>
    <w:next w:val="1"/>
    <w:autoRedefine/>
    <w:qFormat/>
    <w:uiPriority w:val="0"/>
    <w:pPr>
      <w:ind w:left="2100" w:leftChars="1000"/>
    </w:pPr>
  </w:style>
  <w:style w:type="paragraph" w:styleId="27">
    <w:name w:val="Body Text Indent 3"/>
    <w:basedOn w:val="1"/>
    <w:link w:val="72"/>
    <w:autoRedefine/>
    <w:qFormat/>
    <w:uiPriority w:val="0"/>
    <w:pPr>
      <w:ind w:left="178" w:leftChars="85" w:firstLine="560" w:firstLineChars="200"/>
    </w:pPr>
    <w:rPr>
      <w:rFonts w:ascii="仿宋_GB2312" w:hAnsi="Arial" w:eastAsia="仿宋_GB2312"/>
      <w:sz w:val="28"/>
      <w:szCs w:val="24"/>
    </w:rPr>
  </w:style>
  <w:style w:type="paragraph" w:styleId="28">
    <w:name w:val="toc 2"/>
    <w:basedOn w:val="1"/>
    <w:next w:val="1"/>
    <w:qFormat/>
    <w:uiPriority w:val="39"/>
    <w:pPr>
      <w:ind w:left="420" w:leftChars="200"/>
    </w:pPr>
  </w:style>
  <w:style w:type="paragraph" w:styleId="29">
    <w:name w:val="toc 9"/>
    <w:basedOn w:val="1"/>
    <w:next w:val="1"/>
    <w:autoRedefine/>
    <w:qFormat/>
    <w:uiPriority w:val="0"/>
    <w:pPr>
      <w:ind w:left="3360" w:leftChars="1600"/>
    </w:pPr>
  </w:style>
  <w:style w:type="paragraph" w:styleId="30">
    <w:name w:val="Body Text 2"/>
    <w:basedOn w:val="1"/>
    <w:autoRedefine/>
    <w:qFormat/>
    <w:uiPriority w:val="0"/>
    <w:pPr>
      <w:spacing w:after="120" w:line="480" w:lineRule="auto"/>
    </w:pPr>
  </w:style>
  <w:style w:type="paragraph" w:styleId="31">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autoRedefine/>
    <w:unhideWhenUsed/>
    <w:qFormat/>
    <w:uiPriority w:val="99"/>
    <w:pPr>
      <w:jc w:val="left"/>
    </w:pPr>
    <w:rPr>
      <w:kern w:val="0"/>
      <w:sz w:val="24"/>
    </w:rPr>
  </w:style>
  <w:style w:type="paragraph" w:styleId="33">
    <w:name w:val="index 1"/>
    <w:basedOn w:val="1"/>
    <w:next w:val="1"/>
    <w:autoRedefine/>
    <w:semiHidden/>
    <w:qFormat/>
    <w:uiPriority w:val="0"/>
    <w:pPr>
      <w:jc w:val="center"/>
    </w:pPr>
    <w:rPr>
      <w:rFonts w:ascii="仿宋_GB2312" w:eastAsia="仿宋_GB2312"/>
      <w:b/>
      <w:bCs/>
      <w:sz w:val="28"/>
    </w:rPr>
  </w:style>
  <w:style w:type="paragraph" w:styleId="34">
    <w:name w:val="annotation subject"/>
    <w:basedOn w:val="11"/>
    <w:next w:val="11"/>
    <w:link w:val="81"/>
    <w:autoRedefine/>
    <w:semiHidden/>
    <w:qFormat/>
    <w:uiPriority w:val="99"/>
    <w:rPr>
      <w:b/>
      <w:bCs/>
    </w:rPr>
  </w:style>
  <w:style w:type="paragraph" w:styleId="35">
    <w:name w:val="Body Text First Indent 2"/>
    <w:basedOn w:val="13"/>
    <w:next w:val="1"/>
    <w:autoRedefine/>
    <w:qFormat/>
    <w:uiPriority w:val="0"/>
    <w:pPr>
      <w:spacing w:line="360" w:lineRule="auto"/>
      <w:jc w:val="left"/>
    </w:pPr>
    <w:rPr>
      <w:rFonts w:cs="宋体"/>
      <w:sz w:val="28"/>
      <w:szCs w:val="28"/>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bCs/>
    </w:rPr>
  </w:style>
  <w:style w:type="character" w:styleId="40">
    <w:name w:val="page number"/>
    <w:basedOn w:val="38"/>
    <w:autoRedefine/>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b/>
      <w:b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hint="default" w:ascii="monospace" w:hAnsi="monospace" w:eastAsia="monospace" w:cs="monospace"/>
      <w:sz w:val="20"/>
    </w:rPr>
  </w:style>
  <w:style w:type="character" w:styleId="45">
    <w:name w:val="HTML Acronym"/>
    <w:basedOn w:val="38"/>
    <w:autoRedefine/>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qFormat/>
    <w:uiPriority w:val="99"/>
    <w:rPr>
      <w:color w:val="333333"/>
      <w:u w:val="none"/>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autoRedefine/>
    <w:semiHidden/>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style4"/>
    <w:basedOn w:val="1"/>
    <w:next w:val="54"/>
    <w:autoRedefine/>
    <w:qFormat/>
    <w:uiPriority w:val="0"/>
    <w:pPr>
      <w:widowControl/>
      <w:spacing w:before="280" w:after="280"/>
    </w:pPr>
    <w:rPr>
      <w:rFonts w:ascii="宋体"/>
      <w:sz w:val="18"/>
    </w:rPr>
  </w:style>
  <w:style w:type="paragraph" w:customStyle="1" w:styleId="5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5">
    <w:name w:val="列出段落1"/>
    <w:basedOn w:val="1"/>
    <w:autoRedefine/>
    <w:qFormat/>
    <w:uiPriority w:val="0"/>
    <w:pPr>
      <w:ind w:firstLine="420" w:firstLineChars="200"/>
    </w:pPr>
    <w:rPr>
      <w:rFonts w:ascii="Calibri" w:hAnsi="Calibri"/>
      <w:szCs w:val="22"/>
    </w:rPr>
  </w:style>
  <w:style w:type="paragraph" w:customStyle="1" w:styleId="56">
    <w:name w:val="目录 71"/>
    <w:basedOn w:val="1"/>
    <w:next w:val="1"/>
    <w:autoRedefine/>
    <w:qFormat/>
    <w:uiPriority w:val="0"/>
    <w:pPr>
      <w:ind w:left="2520"/>
    </w:pPr>
    <w:rPr>
      <w:rFonts w:ascii="Calibri"/>
    </w:rPr>
  </w:style>
  <w:style w:type="character" w:customStyle="1" w:styleId="57">
    <w:name w:val="页眉 字符"/>
    <w:basedOn w:val="38"/>
    <w:link w:val="23"/>
    <w:autoRedefine/>
    <w:qFormat/>
    <w:uiPriority w:val="0"/>
    <w:rPr>
      <w:sz w:val="18"/>
      <w:szCs w:val="18"/>
    </w:rPr>
  </w:style>
  <w:style w:type="character" w:customStyle="1" w:styleId="58">
    <w:name w:val="页脚 字符"/>
    <w:basedOn w:val="38"/>
    <w:link w:val="22"/>
    <w:autoRedefine/>
    <w:qFormat/>
    <w:uiPriority w:val="0"/>
    <w:rPr>
      <w:sz w:val="18"/>
      <w:szCs w:val="18"/>
    </w:rPr>
  </w:style>
  <w:style w:type="character" w:customStyle="1" w:styleId="59">
    <w:name w:val="标题 1 字符"/>
    <w:basedOn w:val="38"/>
    <w:link w:val="5"/>
    <w:autoRedefine/>
    <w:qFormat/>
    <w:uiPriority w:val="0"/>
    <w:rPr>
      <w:rFonts w:ascii="Times New Roman" w:hAnsi="Times New Roman" w:eastAsia="宋体" w:cs="Times New Roman"/>
      <w:sz w:val="28"/>
      <w:szCs w:val="24"/>
    </w:rPr>
  </w:style>
  <w:style w:type="character" w:customStyle="1" w:styleId="60">
    <w:name w:val="标题 2 Char"/>
    <w:basedOn w:val="38"/>
    <w:autoRedefine/>
    <w:qFormat/>
    <w:uiPriority w:val="0"/>
    <w:rPr>
      <w:rFonts w:ascii="Arial" w:hAnsi="Arial" w:eastAsia="黑体" w:cs="Times New Roman"/>
      <w:b/>
      <w:kern w:val="0"/>
      <w:sz w:val="32"/>
      <w:szCs w:val="20"/>
    </w:rPr>
  </w:style>
  <w:style w:type="character" w:customStyle="1" w:styleId="61">
    <w:name w:val="标题 3 字符"/>
    <w:basedOn w:val="38"/>
    <w:link w:val="7"/>
    <w:autoRedefine/>
    <w:qFormat/>
    <w:uiPriority w:val="0"/>
    <w:rPr>
      <w:rFonts w:ascii="Times New Roman" w:hAnsi="Times New Roman" w:eastAsia="宋体" w:cs="Times New Roman"/>
      <w:b/>
      <w:bCs/>
      <w:sz w:val="32"/>
      <w:szCs w:val="32"/>
      <w:lang w:val="zh-CN" w:eastAsia="zh-CN"/>
    </w:rPr>
  </w:style>
  <w:style w:type="character" w:customStyle="1" w:styleId="62">
    <w:name w:val="标题 4 字符"/>
    <w:basedOn w:val="38"/>
    <w:link w:val="8"/>
    <w:autoRedefine/>
    <w:qFormat/>
    <w:uiPriority w:val="0"/>
    <w:rPr>
      <w:rFonts w:ascii="Arial" w:hAnsi="Arial" w:eastAsia="黑体" w:cs="Times New Roman"/>
      <w:b/>
      <w:kern w:val="0"/>
      <w:sz w:val="28"/>
      <w:szCs w:val="20"/>
    </w:rPr>
  </w:style>
  <w:style w:type="character" w:customStyle="1" w:styleId="63">
    <w:name w:val="日期 字符"/>
    <w:basedOn w:val="38"/>
    <w:link w:val="19"/>
    <w:autoRedefine/>
    <w:qFormat/>
    <w:uiPriority w:val="0"/>
    <w:rPr>
      <w:rFonts w:ascii="Arial" w:hAnsi="Arial" w:eastAsia="楷体_GB2312" w:cs="Times New Roman"/>
      <w:sz w:val="28"/>
      <w:szCs w:val="20"/>
    </w:rPr>
  </w:style>
  <w:style w:type="character" w:customStyle="1" w:styleId="64">
    <w:name w:val="正文文本缩进 字符"/>
    <w:basedOn w:val="38"/>
    <w:link w:val="13"/>
    <w:autoRedefine/>
    <w:qFormat/>
    <w:uiPriority w:val="0"/>
    <w:rPr>
      <w:rFonts w:ascii="Times New Roman" w:hAnsi="Times New Roman" w:eastAsia="仿宋_GB2312" w:cs="Times New Roman"/>
      <w:sz w:val="28"/>
      <w:szCs w:val="20"/>
    </w:rPr>
  </w:style>
  <w:style w:type="paragraph" w:customStyle="1" w:styleId="65">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6">
    <w:name w:val="正文文本缩进 2 字符"/>
    <w:basedOn w:val="38"/>
    <w:link w:val="20"/>
    <w:autoRedefine/>
    <w:qFormat/>
    <w:uiPriority w:val="0"/>
    <w:rPr>
      <w:rFonts w:ascii="Times New Roman" w:hAnsi="Times New Roman" w:eastAsia="仿宋_GB2312" w:cs="Times New Roman"/>
      <w:sz w:val="28"/>
      <w:szCs w:val="20"/>
    </w:rPr>
  </w:style>
  <w:style w:type="paragraph" w:customStyle="1" w:styleId="67">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8">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9">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70">
    <w:name w:val="Char Char Char Char Char"/>
    <w:basedOn w:val="1"/>
    <w:autoRedefine/>
    <w:qFormat/>
    <w:uiPriority w:val="0"/>
    <w:rPr>
      <w:rFonts w:ascii="Tahoma" w:hAnsi="Tahoma"/>
      <w:sz w:val="24"/>
    </w:rPr>
  </w:style>
  <w:style w:type="paragraph" w:customStyle="1" w:styleId="71">
    <w:name w:val="Char"/>
    <w:basedOn w:val="1"/>
    <w:autoRedefine/>
    <w:qFormat/>
    <w:uiPriority w:val="0"/>
    <w:rPr>
      <w:rFonts w:ascii="Tahoma" w:hAnsi="Tahoma"/>
      <w:sz w:val="24"/>
    </w:rPr>
  </w:style>
  <w:style w:type="character" w:customStyle="1" w:styleId="72">
    <w:name w:val="正文文本缩进 3 字符"/>
    <w:basedOn w:val="38"/>
    <w:link w:val="27"/>
    <w:autoRedefine/>
    <w:qFormat/>
    <w:uiPriority w:val="0"/>
    <w:rPr>
      <w:rFonts w:ascii="仿宋_GB2312" w:hAnsi="Arial" w:eastAsia="仿宋_GB2312" w:cs="Times New Roman"/>
      <w:sz w:val="28"/>
      <w:szCs w:val="24"/>
    </w:rPr>
  </w:style>
  <w:style w:type="paragraph" w:customStyle="1" w:styleId="73">
    <w:name w:val="Char1"/>
    <w:basedOn w:val="1"/>
    <w:autoRedefine/>
    <w:qFormat/>
    <w:uiPriority w:val="0"/>
    <w:rPr>
      <w:rFonts w:ascii="Tahoma" w:hAnsi="Tahoma" w:eastAsia="仿宋_GB2312"/>
      <w:sz w:val="24"/>
    </w:rPr>
  </w:style>
  <w:style w:type="paragraph" w:customStyle="1" w:styleId="74">
    <w:name w:val="Char Char Char Char Char Char Char1 Char"/>
    <w:basedOn w:val="1"/>
    <w:autoRedefine/>
    <w:qFormat/>
    <w:uiPriority w:val="0"/>
    <w:rPr>
      <w:rFonts w:ascii="Tahoma" w:hAnsi="Tahoma"/>
      <w:sz w:val="24"/>
    </w:rPr>
  </w:style>
  <w:style w:type="character" w:customStyle="1" w:styleId="75">
    <w:name w:val="正文文本 字符"/>
    <w:basedOn w:val="38"/>
    <w:link w:val="3"/>
    <w:autoRedefine/>
    <w:qFormat/>
    <w:uiPriority w:val="0"/>
    <w:rPr>
      <w:rFonts w:ascii="Times New Roman" w:hAnsi="Times New Roman" w:eastAsia="宋体" w:cs="Times New Roman"/>
      <w:szCs w:val="24"/>
    </w:rPr>
  </w:style>
  <w:style w:type="paragraph" w:customStyle="1" w:styleId="76">
    <w:name w:val="Char Char Char Char"/>
    <w:basedOn w:val="1"/>
    <w:next w:val="1"/>
    <w:autoRedefine/>
    <w:qFormat/>
    <w:uiPriority w:val="0"/>
    <w:pPr>
      <w:widowControl/>
      <w:spacing w:line="360" w:lineRule="auto"/>
      <w:jc w:val="left"/>
    </w:pPr>
  </w:style>
  <w:style w:type="character" w:customStyle="1" w:styleId="77">
    <w:name w:val="批注框文本 字符"/>
    <w:basedOn w:val="38"/>
    <w:link w:val="21"/>
    <w:autoRedefine/>
    <w:qFormat/>
    <w:uiPriority w:val="0"/>
    <w:rPr>
      <w:rFonts w:ascii="Times New Roman" w:hAnsi="Times New Roman" w:eastAsia="宋体" w:cs="Times New Roman"/>
      <w:sz w:val="18"/>
      <w:szCs w:val="18"/>
    </w:rPr>
  </w:style>
  <w:style w:type="paragraph" w:customStyle="1" w:styleId="78">
    <w:name w:val="Char Char Char"/>
    <w:basedOn w:val="1"/>
    <w:autoRedefine/>
    <w:qFormat/>
    <w:uiPriority w:val="0"/>
    <w:rPr>
      <w:rFonts w:ascii="Tahoma" w:hAnsi="Tahoma"/>
      <w:sz w:val="24"/>
    </w:rPr>
  </w:style>
  <w:style w:type="paragraph" w:customStyle="1" w:styleId="79">
    <w:name w:val="Char Char Char Char Char Char Char Char Char Char"/>
    <w:basedOn w:val="1"/>
    <w:autoRedefine/>
    <w:qFormat/>
    <w:uiPriority w:val="0"/>
    <w:rPr>
      <w:rFonts w:ascii="Tahoma" w:hAnsi="Tahoma" w:cs="仿宋_GB2312"/>
      <w:sz w:val="24"/>
    </w:rPr>
  </w:style>
  <w:style w:type="character" w:customStyle="1" w:styleId="80">
    <w:name w:val="批注文字 字符"/>
    <w:basedOn w:val="38"/>
    <w:link w:val="11"/>
    <w:autoRedefine/>
    <w:semiHidden/>
    <w:qFormat/>
    <w:uiPriority w:val="99"/>
    <w:rPr>
      <w:rFonts w:ascii="Times New Roman" w:hAnsi="Times New Roman" w:eastAsia="宋体" w:cs="Times New Roman"/>
      <w:szCs w:val="20"/>
    </w:rPr>
  </w:style>
  <w:style w:type="character" w:customStyle="1" w:styleId="81">
    <w:name w:val="批注主题 字符"/>
    <w:basedOn w:val="80"/>
    <w:link w:val="34"/>
    <w:autoRedefine/>
    <w:semiHidden/>
    <w:qFormat/>
    <w:uiPriority w:val="99"/>
    <w:rPr>
      <w:rFonts w:ascii="Times New Roman" w:hAnsi="Times New Roman" w:eastAsia="宋体" w:cs="Times New Roman"/>
      <w:b/>
      <w:bCs/>
      <w:szCs w:val="20"/>
    </w:rPr>
  </w:style>
  <w:style w:type="paragraph" w:customStyle="1" w:styleId="82">
    <w:name w:val="Char Char Char Char Char Char"/>
    <w:basedOn w:val="1"/>
    <w:autoRedefine/>
    <w:qFormat/>
    <w:uiPriority w:val="0"/>
  </w:style>
  <w:style w:type="character" w:customStyle="1" w:styleId="83">
    <w:name w:val="纯文本 字符"/>
    <w:link w:val="17"/>
    <w:autoRedefine/>
    <w:qFormat/>
    <w:uiPriority w:val="0"/>
    <w:rPr>
      <w:rFonts w:ascii="宋体" w:hAnsi="Courier New" w:eastAsia="宋体"/>
    </w:rPr>
  </w:style>
  <w:style w:type="character" w:customStyle="1" w:styleId="84">
    <w:name w:val="纯文本 Char1"/>
    <w:basedOn w:val="38"/>
    <w:autoRedefine/>
    <w:semiHidden/>
    <w:qFormat/>
    <w:uiPriority w:val="99"/>
    <w:rPr>
      <w:rFonts w:ascii="宋体" w:hAnsi="Courier New" w:eastAsia="宋体" w:cs="Courier New"/>
      <w:szCs w:val="21"/>
    </w:rPr>
  </w:style>
  <w:style w:type="paragraph" w:customStyle="1" w:styleId="85">
    <w:name w:val="Char12 Char Char Char"/>
    <w:basedOn w:val="1"/>
    <w:autoRedefine/>
    <w:qFormat/>
    <w:uiPriority w:val="0"/>
  </w:style>
  <w:style w:type="character" w:customStyle="1" w:styleId="86">
    <w:name w:val="文档结构图 字符"/>
    <w:basedOn w:val="38"/>
    <w:link w:val="10"/>
    <w:autoRedefine/>
    <w:qFormat/>
    <w:uiPriority w:val="0"/>
    <w:rPr>
      <w:rFonts w:ascii="Times New Roman" w:hAnsi="Times New Roman" w:eastAsia="宋体" w:cs="Times New Roman"/>
      <w:szCs w:val="20"/>
      <w:shd w:val="clear" w:color="auto" w:fill="000080"/>
    </w:rPr>
  </w:style>
  <w:style w:type="character" w:customStyle="1" w:styleId="87">
    <w:name w:val="style29"/>
    <w:autoRedefine/>
    <w:qFormat/>
    <w:uiPriority w:val="0"/>
  </w:style>
  <w:style w:type="character" w:customStyle="1" w:styleId="88">
    <w:name w:val="正文1"/>
    <w:autoRedefine/>
    <w:qFormat/>
    <w:uiPriority w:val="0"/>
  </w:style>
  <w:style w:type="character" w:customStyle="1" w:styleId="89">
    <w:name w:val="font11"/>
    <w:autoRedefine/>
    <w:qFormat/>
    <w:uiPriority w:val="0"/>
    <w:rPr>
      <w:rFonts w:hint="default" w:ascii="Times New Roman" w:hAnsi="Times New Roman" w:cs="Times New Roman"/>
      <w:color w:val="3366FF"/>
      <w:sz w:val="24"/>
      <w:szCs w:val="24"/>
      <w:u w:val="none"/>
    </w:rPr>
  </w:style>
  <w:style w:type="character" w:customStyle="1" w:styleId="90">
    <w:name w:val="font21"/>
    <w:autoRedefine/>
    <w:qFormat/>
    <w:uiPriority w:val="0"/>
    <w:rPr>
      <w:rFonts w:hint="eastAsia" w:ascii="宋体" w:hAnsi="宋体" w:eastAsia="宋体"/>
      <w:color w:val="3366FF"/>
      <w:sz w:val="24"/>
      <w:szCs w:val="24"/>
      <w:u w:val="none"/>
    </w:rPr>
  </w:style>
  <w:style w:type="paragraph" w:customStyle="1" w:styleId="91">
    <w:name w:val="Char Char15"/>
    <w:basedOn w:val="1"/>
    <w:autoRedefine/>
    <w:qFormat/>
    <w:uiPriority w:val="0"/>
    <w:rPr>
      <w:rFonts w:ascii="Tahoma" w:hAnsi="Tahoma" w:eastAsia="仿宋_GB2312"/>
      <w:sz w:val="24"/>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3"/>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字符"/>
    <w:basedOn w:val="38"/>
    <w:link w:val="12"/>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7">
    <w:name w:val="List Paragraph"/>
    <w:basedOn w:val="1"/>
    <w:autoRedefine/>
    <w:qFormat/>
    <w:uiPriority w:val="99"/>
    <w:pPr>
      <w:ind w:firstLine="420" w:firstLineChars="200"/>
    </w:pPr>
  </w:style>
  <w:style w:type="table" w:customStyle="1" w:styleId="10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9">
    <w:name w:val="first-child3"/>
    <w:basedOn w:val="38"/>
    <w:autoRedefine/>
    <w:qFormat/>
    <w:uiPriority w:val="0"/>
  </w:style>
  <w:style w:type="character" w:customStyle="1" w:styleId="110">
    <w:name w:val="layui-this"/>
    <w:basedOn w:val="38"/>
    <w:autoRedefine/>
    <w:qFormat/>
    <w:uiPriority w:val="0"/>
    <w:rPr>
      <w:bdr w:val="single" w:color="EEEEEE" w:sz="4" w:space="0"/>
      <w:shd w:val="clear" w:color="auto" w:fill="FFFFFF"/>
    </w:rPr>
  </w:style>
  <w:style w:type="character" w:customStyle="1" w:styleId="111">
    <w:name w:val="first-child2"/>
    <w:basedOn w:val="38"/>
    <w:autoRedefine/>
    <w:qFormat/>
    <w:uiPriority w:val="0"/>
  </w:style>
  <w:style w:type="character" w:customStyle="1" w:styleId="112">
    <w:name w:val="first-child"/>
    <w:basedOn w:val="38"/>
    <w:autoRedefine/>
    <w:qFormat/>
    <w:uiPriority w:val="0"/>
  </w:style>
  <w:style w:type="character" w:customStyle="1" w:styleId="113">
    <w:name w:val="first-child1"/>
    <w:basedOn w:val="38"/>
    <w:autoRedefine/>
    <w:qFormat/>
    <w:uiPriority w:val="0"/>
  </w:style>
  <w:style w:type="paragraph" w:customStyle="1" w:styleId="114">
    <w:name w:val="Table Paragraph"/>
    <w:basedOn w:val="1"/>
    <w:autoRedefine/>
    <w:qFormat/>
    <w:uiPriority w:val="99"/>
    <w:pPr>
      <w:jc w:val="left"/>
    </w:pPr>
    <w:rPr>
      <w:rFonts w:ascii="宋体" w:hAnsi="宋体" w:cs="宋体"/>
      <w:kern w:val="0"/>
      <w:sz w:val="22"/>
      <w:szCs w:val="22"/>
      <w:lang w:eastAsia="en-US"/>
    </w:rPr>
  </w:style>
  <w:style w:type="character" w:customStyle="1" w:styleId="115">
    <w:name w:val="标题 2 字符"/>
    <w:link w:val="6"/>
    <w:autoRedefine/>
    <w:qFormat/>
    <w:uiPriority w:val="0"/>
    <w:rPr>
      <w:rFonts w:ascii="Arial" w:hAnsi="Arial" w:eastAsia="黑体"/>
      <w:b/>
      <w:bCs/>
      <w:sz w:val="32"/>
      <w:szCs w:val="32"/>
    </w:rPr>
  </w:style>
  <w:style w:type="character" w:customStyle="1" w:styleId="116">
    <w:name w:val="place"/>
    <w:basedOn w:val="38"/>
    <w:autoRedefine/>
    <w:qFormat/>
    <w:uiPriority w:val="0"/>
  </w:style>
  <w:style w:type="character" w:customStyle="1" w:styleId="117">
    <w:name w:val="place1"/>
    <w:basedOn w:val="38"/>
    <w:autoRedefine/>
    <w:qFormat/>
    <w:uiPriority w:val="0"/>
  </w:style>
  <w:style w:type="character" w:customStyle="1" w:styleId="118">
    <w:name w:val="place2"/>
    <w:basedOn w:val="38"/>
    <w:autoRedefine/>
    <w:qFormat/>
    <w:uiPriority w:val="0"/>
    <w:rPr>
      <w:rFonts w:ascii="微软雅黑" w:hAnsi="微软雅黑" w:eastAsia="微软雅黑" w:cs="微软雅黑"/>
      <w:color w:val="888888"/>
      <w:sz w:val="20"/>
      <w:szCs w:val="20"/>
    </w:rPr>
  </w:style>
  <w:style w:type="character" w:customStyle="1" w:styleId="119">
    <w:name w:val="place3"/>
    <w:basedOn w:val="38"/>
    <w:autoRedefine/>
    <w:qFormat/>
    <w:uiPriority w:val="0"/>
  </w:style>
  <w:style w:type="character" w:customStyle="1" w:styleId="120">
    <w:name w:val="font"/>
    <w:basedOn w:val="38"/>
    <w:autoRedefine/>
    <w:qFormat/>
    <w:uiPriority w:val="0"/>
  </w:style>
  <w:style w:type="character" w:customStyle="1" w:styleId="121">
    <w:name w:val="font1"/>
    <w:basedOn w:val="38"/>
    <w:autoRedefine/>
    <w:qFormat/>
    <w:uiPriority w:val="0"/>
  </w:style>
  <w:style w:type="character" w:customStyle="1" w:styleId="122">
    <w:name w:val="gwds_nopic"/>
    <w:basedOn w:val="38"/>
    <w:autoRedefine/>
    <w:qFormat/>
    <w:uiPriority w:val="0"/>
  </w:style>
  <w:style w:type="character" w:customStyle="1" w:styleId="123">
    <w:name w:val="gwds_nopic1"/>
    <w:basedOn w:val="38"/>
    <w:autoRedefine/>
    <w:qFormat/>
    <w:uiPriority w:val="0"/>
  </w:style>
  <w:style w:type="character" w:customStyle="1" w:styleId="124">
    <w:name w:val="gwds_nopic2"/>
    <w:basedOn w:val="38"/>
    <w:autoRedefine/>
    <w:qFormat/>
    <w:uiPriority w:val="0"/>
  </w:style>
  <w:style w:type="character" w:customStyle="1" w:styleId="125">
    <w:name w:val="noline"/>
    <w:basedOn w:val="38"/>
    <w:autoRedefine/>
    <w:qFormat/>
    <w:uiPriority w:val="0"/>
  </w:style>
  <w:style w:type="character" w:customStyle="1" w:styleId="126">
    <w:name w:val="hover17"/>
    <w:basedOn w:val="38"/>
    <w:autoRedefine/>
    <w:qFormat/>
    <w:uiPriority w:val="0"/>
    <w:rPr>
      <w:color w:val="025291"/>
    </w:rPr>
  </w:style>
  <w:style w:type="character" w:customStyle="1" w:styleId="127">
    <w:name w:val="Unresolved Mention"/>
    <w:basedOn w:val="38"/>
    <w:autoRedefine/>
    <w:semiHidden/>
    <w:unhideWhenUsed/>
    <w:qFormat/>
    <w:uiPriority w:val="99"/>
    <w:rPr>
      <w:color w:val="605E5C"/>
      <w:shd w:val="clear" w:color="auto" w:fill="E1DFDD"/>
    </w:rPr>
  </w:style>
  <w:style w:type="character" w:customStyle="1" w:styleId="128">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9">
    <w:name w:val="hover1"/>
    <w:basedOn w:val="38"/>
    <w:autoRedefine/>
    <w:qFormat/>
    <w:uiPriority w:val="0"/>
    <w:rPr>
      <w:color w:val="2590EB"/>
      <w:shd w:val="clear" w:fill="E9F4FD"/>
    </w:rPr>
  </w:style>
  <w:style w:type="character" w:customStyle="1" w:styleId="130">
    <w:name w:val="hover2"/>
    <w:basedOn w:val="38"/>
    <w:autoRedefine/>
    <w:qFormat/>
    <w:uiPriority w:val="0"/>
    <w:rPr>
      <w:color w:val="2590EB"/>
    </w:rPr>
  </w:style>
  <w:style w:type="character" w:customStyle="1" w:styleId="131">
    <w:name w:val="hover3"/>
    <w:basedOn w:val="38"/>
    <w:autoRedefine/>
    <w:qFormat/>
    <w:uiPriority w:val="0"/>
    <w:rPr>
      <w:color w:val="2590EB"/>
    </w:rPr>
  </w:style>
  <w:style w:type="character" w:customStyle="1" w:styleId="132">
    <w:name w:val="hover4"/>
    <w:basedOn w:val="38"/>
    <w:autoRedefine/>
    <w:qFormat/>
    <w:uiPriority w:val="0"/>
  </w:style>
  <w:style w:type="character" w:customStyle="1" w:styleId="133">
    <w:name w:val="hover"/>
    <w:basedOn w:val="3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13123</Words>
  <Characters>13756</Characters>
  <Lines>294</Lines>
  <Paragraphs>82</Paragraphs>
  <TotalTime>81</TotalTime>
  <ScaleCrop>false</ScaleCrop>
  <LinksUpToDate>false</LinksUpToDate>
  <CharactersWithSpaces>14833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吴丹</cp:lastModifiedBy>
  <cp:lastPrinted>2023-05-12T00:51:00Z</cp:lastPrinted>
  <dcterms:modified xsi:type="dcterms:W3CDTF">2024-03-06T00:43:01Z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302733F5B957457780DC8E8D62B569F6</vt:lpwstr>
  </property>
</Properties>
</file>