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0"/>
          <w:szCs w:val="40"/>
          <w:lang w:eastAsia="zh-CN"/>
        </w:rPr>
      </w:pPr>
      <w:r>
        <w:rPr>
          <w:rFonts w:hint="eastAsia" w:ascii="宋体" w:hAnsi="宋体"/>
          <w:b/>
          <w:color w:val="auto"/>
          <w:spacing w:val="20"/>
          <w:sz w:val="40"/>
          <w:szCs w:val="40"/>
          <w:lang w:eastAsia="zh-CN"/>
        </w:rPr>
        <w:t>S244潘黑路(K123.592-K132.987段)养护大中修及安全设施精细化提升工程检测</w:t>
      </w:r>
    </w:p>
    <w:p>
      <w:pPr>
        <w:rPr>
          <w:rFonts w:ascii="宋体" w:hAnsi="宋体"/>
          <w:sz w:val="32"/>
          <w:szCs w:val="32"/>
        </w:rPr>
      </w:pPr>
    </w:p>
    <w:p>
      <w:pPr>
        <w:pStyle w:val="2"/>
      </w:pPr>
    </w:p>
    <w:p>
      <w:pPr>
        <w:jc w:val="center"/>
        <w:rPr>
          <w:rFonts w:hint="eastAsia" w:ascii="宋体" w:hAnsi="宋体"/>
          <w:b/>
          <w:sz w:val="52"/>
          <w:szCs w:val="52"/>
          <w:lang w:eastAsia="zh-CN"/>
        </w:rPr>
      </w:pPr>
      <w:r>
        <w:rPr>
          <w:rFonts w:hint="eastAsia" w:ascii="宋体" w:hAnsi="宋体"/>
          <w:b/>
          <w:sz w:val="52"/>
          <w:szCs w:val="52"/>
          <w:lang w:eastAsia="zh-CN"/>
        </w:rPr>
        <w:t>竞</w:t>
      </w:r>
    </w:p>
    <w:p>
      <w:pPr>
        <w:jc w:val="center"/>
        <w:rPr>
          <w:rFonts w:hint="eastAsia" w:ascii="宋体" w:hAnsi="宋体"/>
          <w:b/>
          <w:sz w:val="52"/>
          <w:szCs w:val="52"/>
          <w:lang w:eastAsia="zh-CN"/>
        </w:rPr>
      </w:pPr>
      <w:r>
        <w:rPr>
          <w:rFonts w:hint="eastAsia" w:ascii="宋体" w:hAnsi="宋体"/>
          <w:b/>
          <w:sz w:val="52"/>
          <w:szCs w:val="52"/>
          <w:lang w:eastAsia="zh-CN"/>
        </w:rPr>
        <w:t>争</w:t>
      </w:r>
    </w:p>
    <w:p>
      <w:pPr>
        <w:jc w:val="center"/>
        <w:rPr>
          <w:rFonts w:hint="eastAsia" w:ascii="宋体" w:hAnsi="宋体"/>
          <w:b/>
          <w:sz w:val="52"/>
          <w:szCs w:val="52"/>
          <w:lang w:eastAsia="zh-CN"/>
        </w:rPr>
      </w:pPr>
      <w:r>
        <w:rPr>
          <w:rFonts w:hint="eastAsia" w:ascii="宋体" w:hAnsi="宋体"/>
          <w:b/>
          <w:sz w:val="52"/>
          <w:szCs w:val="52"/>
          <w:lang w:eastAsia="zh-CN"/>
        </w:rPr>
        <w:t>性</w:t>
      </w:r>
    </w:p>
    <w:p>
      <w:pPr>
        <w:jc w:val="center"/>
        <w:rPr>
          <w:rFonts w:hint="eastAsia" w:ascii="宋体" w:hAnsi="宋体"/>
          <w:b/>
          <w:sz w:val="52"/>
          <w:szCs w:val="52"/>
          <w:lang w:eastAsia="zh-CN"/>
        </w:rPr>
      </w:pPr>
      <w:r>
        <w:rPr>
          <w:rFonts w:hint="eastAsia" w:ascii="宋体" w:hAnsi="宋体"/>
          <w:b/>
          <w:sz w:val="52"/>
          <w:szCs w:val="52"/>
          <w:lang w:eastAsia="zh-CN"/>
        </w:rPr>
        <w:t>谈</w:t>
      </w:r>
    </w:p>
    <w:p>
      <w:pPr>
        <w:jc w:val="center"/>
        <w:rPr>
          <w:rFonts w:hint="eastAsia" w:ascii="宋体" w:hAnsi="宋体"/>
          <w:b/>
          <w:sz w:val="52"/>
          <w:szCs w:val="52"/>
          <w:lang w:eastAsia="zh-CN"/>
        </w:rPr>
      </w:pPr>
      <w:r>
        <w:rPr>
          <w:rFonts w:hint="eastAsia" w:ascii="宋体" w:hAnsi="宋体"/>
          <w:b/>
          <w:sz w:val="52"/>
          <w:szCs w:val="52"/>
          <w:lang w:eastAsia="zh-CN"/>
        </w:rPr>
        <w:t>判</w:t>
      </w:r>
    </w:p>
    <w:p>
      <w:pPr>
        <w:jc w:val="center"/>
        <w:rPr>
          <w:rFonts w:hint="eastAsia" w:ascii="宋体" w:hAnsi="宋体"/>
          <w:b/>
          <w:sz w:val="52"/>
          <w:szCs w:val="52"/>
          <w:lang w:eastAsia="zh-CN"/>
        </w:rPr>
      </w:pPr>
      <w:r>
        <w:rPr>
          <w:rFonts w:hint="eastAsia" w:ascii="宋体" w:hAnsi="宋体"/>
          <w:b/>
          <w:sz w:val="52"/>
          <w:szCs w:val="52"/>
          <w:lang w:eastAsia="zh-CN"/>
        </w:rPr>
        <w:t>文</w:t>
      </w:r>
    </w:p>
    <w:p>
      <w:pPr>
        <w:jc w:val="center"/>
        <w:rPr>
          <w:rFonts w:ascii="宋体" w:hAnsi="宋体"/>
          <w:b/>
          <w:sz w:val="52"/>
          <w:szCs w:val="52"/>
        </w:rPr>
      </w:pPr>
      <w:r>
        <w:rPr>
          <w:rFonts w:hint="eastAsia" w:ascii="宋体" w:hAnsi="宋体"/>
          <w:b/>
          <w:sz w:val="52"/>
          <w:szCs w:val="52"/>
          <w:lang w:eastAsia="zh-CN"/>
        </w:rPr>
        <w:t>件</w:t>
      </w:r>
    </w:p>
    <w:p>
      <w:pPr>
        <w:spacing w:line="400" w:lineRule="exact"/>
        <w:rPr>
          <w:rFonts w:ascii="宋体" w:hAnsi="宋体"/>
          <w:b/>
          <w:sz w:val="41"/>
        </w:rPr>
      </w:pPr>
    </w:p>
    <w:p>
      <w:pPr>
        <w:spacing w:line="400" w:lineRule="exact"/>
        <w:rPr>
          <w:rFonts w:ascii="宋体" w:hAnsi="宋体"/>
        </w:rPr>
      </w:pPr>
    </w:p>
    <w:p>
      <w:pPr>
        <w:spacing w:line="400" w:lineRule="exact"/>
        <w:ind w:firstLine="2891" w:firstLineChars="900"/>
        <w:rPr>
          <w:rFonts w:ascii="仿宋" w:hAnsi="仿宋" w:eastAsia="仿宋" w:cs="仿宋"/>
          <w:sz w:val="32"/>
          <w:szCs w:val="32"/>
          <w:u w:val="single"/>
        </w:rPr>
      </w:pPr>
      <w:r>
        <w:rPr>
          <w:rFonts w:hint="eastAsia" w:ascii="仿宋" w:hAnsi="仿宋" w:eastAsia="仿宋" w:cs="仿宋"/>
          <w:b/>
          <w:bCs/>
          <w:sz w:val="32"/>
          <w:szCs w:val="32"/>
          <w:lang w:val="en-US" w:eastAsia="zh-CN"/>
        </w:rPr>
        <w:t xml:space="preserve">  项目编号：HSYD-2024-0508</w:t>
      </w:r>
      <w:r>
        <w:rPr>
          <w:rFonts w:hint="eastAsia" w:ascii="仿宋" w:hAnsi="仿宋" w:eastAsia="仿宋" w:cs="仿宋"/>
          <w:sz w:val="32"/>
          <w:szCs w:val="32"/>
        </w:rPr>
        <w:t xml:space="preserve"> </w:t>
      </w: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lang w:val="en-US" w:eastAsia="zh-CN"/>
        </w:rPr>
        <w:t>采购</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霍山县地方公路管理局</w:t>
      </w:r>
    </w:p>
    <w:p>
      <w:pPr>
        <w:spacing w:line="360" w:lineRule="auto"/>
        <w:jc w:val="center"/>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jc w:val="center"/>
        <w:rPr>
          <w:rFonts w:ascii="仿宋" w:hAnsi="仿宋" w:eastAsia="仿宋" w:cs="仿宋"/>
          <w:sz w:val="32"/>
          <w:szCs w:val="32"/>
        </w:rPr>
      </w:pPr>
      <w:r>
        <w:rPr>
          <w:rFonts w:hint="eastAsia" w:ascii="宋体" w:hAnsi="宋体" w:cs="宋体"/>
          <w:b/>
          <w:bCs/>
          <w:color w:val="auto"/>
          <w:sz w:val="32"/>
          <w:szCs w:val="32"/>
        </w:rPr>
        <w:t>发 布 日 期：202</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月</w:t>
      </w:r>
    </w:p>
    <w:p>
      <w:pPr>
        <w:pStyle w:val="4"/>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30186"/>
      <w:bookmarkStart w:id="1" w:name="_Toc28964"/>
      <w:bookmarkStart w:id="2" w:name="_Toc216158623"/>
      <w:bookmarkStart w:id="3" w:name="_Toc363199264"/>
    </w:p>
    <w:p>
      <w:pPr>
        <w:pStyle w:val="4"/>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S244潘黑路(K123.592-K132.987段)养护大中修及安全设施精细化提升工程检测</w:t>
      </w:r>
      <w:r>
        <w:rPr>
          <w:rFonts w:hint="eastAsia" w:ascii="华文中宋" w:hAnsi="华文中宋" w:eastAsia="华文中宋" w:cs="华文中宋"/>
          <w:b w:val="0"/>
          <w:bCs/>
          <w:sz w:val="28"/>
          <w:szCs w:val="28"/>
          <w:lang w:eastAsia="zh-CN"/>
        </w:rPr>
        <w:br w:type="textWrapping"/>
      </w:r>
      <w:r>
        <w:rPr>
          <w:rFonts w:hint="eastAsia" w:ascii="华文中宋" w:hAnsi="华文中宋" w:eastAsia="华文中宋" w:cs="华文中宋"/>
          <w:b w:val="0"/>
          <w:bCs/>
          <w:sz w:val="28"/>
          <w:szCs w:val="28"/>
        </w:rPr>
        <w:t>竞争性谈判采购公告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u w:val="none"/>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S244潘黑路(K123.592-K132.987段)养护大中修及安全设施精细化提升工程检测</w:t>
      </w:r>
      <w:r>
        <w:rPr>
          <w:rFonts w:hint="eastAsia" w:ascii="仿宋" w:hAnsi="仿宋" w:eastAsia="仿宋" w:cs="仿宋"/>
          <w:sz w:val="28"/>
          <w:szCs w:val="28"/>
        </w:rPr>
        <w:t>在</w:t>
      </w:r>
      <w:r>
        <w:rPr>
          <w:rFonts w:hint="eastAsia" w:ascii="仿宋" w:hAnsi="仿宋" w:eastAsia="仿宋" w:cs="仿宋"/>
          <w:sz w:val="28"/>
          <w:szCs w:val="28"/>
          <w:lang w:val="en-US" w:eastAsia="zh-CN"/>
        </w:rPr>
        <w:t>霍山永达工程咨询有限公司</w:t>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"http://ggzy.luan.gov.cn）获取采购文件，并于2022年11月"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http://www.hsydgczx.com</w:t>
      </w:r>
      <w:r>
        <w:rPr>
          <w:rFonts w:hint="eastAsia" w:ascii="仿宋" w:hAnsi="仿宋" w:eastAsia="仿宋" w:cs="仿宋"/>
          <w:sz w:val="28"/>
          <w:szCs w:val="28"/>
        </w:rPr>
        <w:t>）</w:t>
      </w:r>
      <w:r>
        <w:rPr>
          <w:rFonts w:hint="eastAsia" w:ascii="仿宋" w:hAnsi="仿宋" w:eastAsia="仿宋" w:cs="仿宋"/>
          <w:sz w:val="28"/>
          <w:szCs w:val="28"/>
          <w:lang w:eastAsia="zh-CN"/>
        </w:rPr>
        <w:t>发布采购公告</w:t>
      </w:r>
      <w:r>
        <w:rPr>
          <w:rFonts w:hint="eastAsia" w:ascii="仿宋" w:hAnsi="仿宋" w:eastAsia="仿宋" w:cs="仿宋"/>
          <w:sz w:val="28"/>
          <w:szCs w:val="28"/>
        </w:rPr>
        <w:t>，</w:t>
      </w:r>
      <w:r>
        <w:rPr>
          <w:rFonts w:hint="eastAsia" w:ascii="仿宋" w:hAnsi="仿宋" w:eastAsia="仿宋" w:cs="仿宋"/>
          <w:sz w:val="28"/>
          <w:szCs w:val="28"/>
          <w:lang w:eastAsia="zh-CN"/>
        </w:rPr>
        <w:t>受邀的供应商应</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u w:val="none"/>
        </w:rPr>
        <w:t>分（北京时间）前提交响应文件。</w:t>
      </w:r>
    </w:p>
    <w:p>
      <w:pPr>
        <w:pStyle w:val="4"/>
        <w:adjustRightInd/>
        <w:spacing w:before="0" w:after="0" w:line="480" w:lineRule="exact"/>
        <w:jc w:val="both"/>
        <w:textAlignment w:val="auto"/>
        <w:rPr>
          <w:rFonts w:ascii="黑体" w:hAnsi="黑体" w:cs="黑体"/>
          <w:b w:val="0"/>
          <w:bCs/>
          <w:sz w:val="28"/>
          <w:szCs w:val="28"/>
        </w:rPr>
      </w:pPr>
      <w:bookmarkStart w:id="4" w:name="_Toc28359012"/>
      <w:bookmarkStart w:id="5" w:name="_Toc28359089"/>
      <w:bookmarkStart w:id="6" w:name="_Toc7777"/>
      <w:bookmarkStart w:id="7" w:name="_Toc35393798"/>
      <w:bookmarkStart w:id="8" w:name="_Toc35393629"/>
      <w:r>
        <w:rPr>
          <w:rFonts w:hint="eastAsia" w:ascii="黑体" w:hAnsi="黑体" w:cs="黑体"/>
          <w:b w:val="0"/>
          <w:bCs/>
          <w:sz w:val="28"/>
          <w:szCs w:val="28"/>
        </w:rPr>
        <w:t>一、项目基本情况</w:t>
      </w:r>
      <w:bookmarkEnd w:id="4"/>
      <w:bookmarkEnd w:id="5"/>
      <w:bookmarkEnd w:id="6"/>
      <w:bookmarkEnd w:id="7"/>
      <w:bookmarkEnd w:id="8"/>
    </w:p>
    <w:p>
      <w:pPr>
        <w:spacing w:line="480" w:lineRule="exact"/>
        <w:rPr>
          <w:rFonts w:hint="default" w:ascii="仿宋" w:hAnsi="仿宋" w:eastAsia="仿宋" w:cs="仿宋"/>
          <w:sz w:val="28"/>
          <w:szCs w:val="28"/>
          <w:highlight w:val="green"/>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HSYD-2024-0508</w:t>
      </w:r>
    </w:p>
    <w:p>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S244潘黑路(K123.592-K132.987段)养护大中修及安全设施精细化提升工程检测</w:t>
      </w:r>
    </w:p>
    <w:p>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3、项目类型：</w:t>
      </w:r>
      <w:r>
        <w:rPr>
          <w:rFonts w:hint="eastAsia" w:ascii="仿宋" w:hAnsi="仿宋" w:eastAsia="仿宋" w:cs="仿宋"/>
          <w:sz w:val="28"/>
          <w:szCs w:val="28"/>
          <w:lang w:eastAsia="zh-CN"/>
        </w:rPr>
        <w:t>服务类</w:t>
      </w:r>
    </w:p>
    <w:p>
      <w:pPr>
        <w:spacing w:line="480" w:lineRule="exact"/>
        <w:rPr>
          <w:rFonts w:ascii="仿宋" w:hAnsi="仿宋" w:eastAsia="仿宋" w:cs="仿宋"/>
          <w:sz w:val="28"/>
          <w:szCs w:val="28"/>
        </w:rPr>
      </w:pPr>
      <w:r>
        <w:rPr>
          <w:rFonts w:hint="eastAsia" w:ascii="仿宋" w:hAnsi="仿宋" w:eastAsia="仿宋" w:cs="仿宋"/>
          <w:sz w:val="28"/>
          <w:szCs w:val="28"/>
        </w:rPr>
        <w:t xml:space="preserve">4、采购方式：竞争性谈判 </w:t>
      </w:r>
    </w:p>
    <w:p>
      <w:pPr>
        <w:spacing w:line="48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、采购需求：本项目</w:t>
      </w:r>
      <w:bookmarkStart w:id="9" w:name="_Hlk117796205"/>
      <w:r>
        <w:rPr>
          <w:rFonts w:hint="eastAsia" w:ascii="仿宋" w:hAnsi="仿宋" w:eastAsia="仿宋" w:cs="仿宋"/>
          <w:sz w:val="28"/>
          <w:szCs w:val="28"/>
        </w:rPr>
        <w:t>位于</w:t>
      </w:r>
      <w:r>
        <w:rPr>
          <w:rFonts w:hint="eastAsia" w:ascii="仿宋" w:hAnsi="仿宋" w:eastAsia="仿宋" w:cs="仿宋"/>
          <w:sz w:val="28"/>
          <w:szCs w:val="28"/>
          <w:lang w:val="en-US" w:eastAsia="zh-CN"/>
        </w:rPr>
        <w:t>霍山县</w:t>
      </w:r>
      <w:r>
        <w:rPr>
          <w:rFonts w:hint="eastAsia" w:ascii="仿宋" w:hAnsi="仿宋" w:eastAsia="仿宋" w:cs="仿宋"/>
          <w:sz w:val="28"/>
          <w:szCs w:val="28"/>
        </w:rPr>
        <w:t>。工程内容主要包括：</w:t>
      </w:r>
      <w:r>
        <w:rPr>
          <w:rFonts w:hint="eastAsia" w:ascii="仿宋" w:hAnsi="仿宋" w:eastAsia="仿宋" w:cs="仿宋"/>
          <w:sz w:val="28"/>
          <w:szCs w:val="28"/>
          <w:lang w:eastAsia="zh-CN"/>
        </w:rPr>
        <w:t>S244潘黑路(K123.592-K132.987段)养护大中修及安全设施精细化提升工程检测（中间检测和交工检测等）</w:t>
      </w:r>
      <w:bookmarkStart w:id="106" w:name="_GoBack"/>
      <w:bookmarkEnd w:id="106"/>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造价约7.80万元。</w:t>
      </w:r>
      <w:r>
        <w:rPr>
          <w:rFonts w:hint="eastAsia" w:ascii="仿宋" w:hAnsi="仿宋" w:eastAsia="仿宋" w:cs="仿宋"/>
          <w:sz w:val="28"/>
          <w:szCs w:val="28"/>
        </w:rPr>
        <w:t>具体详见工程量清单和施工图纸。</w:t>
      </w:r>
      <w:bookmarkEnd w:id="9"/>
    </w:p>
    <w:p>
      <w:pPr>
        <w:spacing w:line="480" w:lineRule="exact"/>
        <w:rPr>
          <w:rFonts w:hint="eastAsia" w:ascii="仿宋" w:hAnsi="仿宋" w:eastAsia="仿宋" w:cs="仿宋"/>
          <w:sz w:val="28"/>
          <w:szCs w:val="28"/>
          <w:u w:val="single"/>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、合同履行期</w:t>
      </w:r>
      <w:r>
        <w:rPr>
          <w:rFonts w:hint="eastAsia" w:ascii="仿宋" w:hAnsi="仿宋" w:eastAsia="仿宋" w:cs="仿宋"/>
          <w:color w:val="000000" w:themeColor="text1"/>
          <w:sz w:val="28"/>
          <w:szCs w:val="28"/>
          <w14:textFill>
            <w14:solidFill>
              <w14:schemeClr w14:val="tx1"/>
            </w14:solidFill>
          </w14:textFill>
        </w:rPr>
        <w:t>限：</w:t>
      </w:r>
      <w:r>
        <w:rPr>
          <w:rFonts w:hint="eastAsia" w:ascii="仿宋" w:hAnsi="仿宋" w:eastAsia="仿宋" w:cs="仿宋"/>
          <w:color w:val="auto"/>
          <w:sz w:val="28"/>
          <w:szCs w:val="28"/>
          <w:lang w:val="en-US" w:eastAsia="zh-CN"/>
        </w:rPr>
        <w:t>30</w:t>
      </w:r>
      <w:r>
        <w:rPr>
          <w:rFonts w:hint="eastAsia" w:ascii="仿宋" w:hAnsi="仿宋" w:eastAsia="仿宋" w:cs="仿宋"/>
          <w:color w:val="000000" w:themeColor="text1"/>
          <w:sz w:val="28"/>
          <w:szCs w:val="28"/>
          <w14:textFill>
            <w14:solidFill>
              <w14:schemeClr w14:val="tx1"/>
            </w14:solidFill>
          </w14:textFill>
        </w:rPr>
        <w:t>日历天</w:t>
      </w:r>
    </w:p>
    <w:p>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、是否接受联合体：本项目不接受联合体</w:t>
      </w:r>
    </w:p>
    <w:p>
      <w:pPr>
        <w:pStyle w:val="4"/>
        <w:adjustRightInd/>
        <w:spacing w:before="0" w:after="0" w:line="480" w:lineRule="exact"/>
        <w:jc w:val="both"/>
        <w:textAlignment w:val="auto"/>
        <w:rPr>
          <w:rFonts w:ascii="黑体" w:hAnsi="黑体" w:cs="黑体"/>
          <w:b w:val="0"/>
          <w:bCs/>
          <w:sz w:val="28"/>
          <w:szCs w:val="28"/>
        </w:rPr>
      </w:pPr>
      <w:bookmarkStart w:id="10" w:name="_Toc11070"/>
      <w:bookmarkStart w:id="11" w:name="_Toc28359090"/>
      <w:bookmarkStart w:id="12" w:name="_Toc28359013"/>
      <w:bookmarkStart w:id="13" w:name="_Toc35393630"/>
      <w:bookmarkStart w:id="14" w:name="_Toc35393799"/>
      <w:r>
        <w:rPr>
          <w:rFonts w:hint="eastAsia" w:ascii="黑体" w:hAnsi="黑体" w:cs="黑体"/>
          <w:b w:val="0"/>
          <w:bCs/>
          <w:sz w:val="28"/>
          <w:szCs w:val="28"/>
        </w:rPr>
        <w:t>二、申请人的资格要求</w:t>
      </w:r>
      <w:bookmarkEnd w:id="10"/>
      <w:bookmarkEnd w:id="11"/>
      <w:bookmarkEnd w:id="12"/>
      <w:bookmarkEnd w:id="13"/>
      <w:bookmarkEnd w:id="14"/>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480" w:lineRule="exact"/>
        <w:ind w:firstLine="560" w:firstLineChars="200"/>
        <w:rPr>
          <w:rFonts w:ascii="仿宋" w:hAnsi="仿宋" w:eastAsia="仿宋" w:cs="仿宋"/>
          <w:sz w:val="28"/>
          <w:szCs w:val="28"/>
        </w:rPr>
      </w:pPr>
      <w:bookmarkStart w:id="15" w:name="_Toc28359014"/>
      <w:bookmarkStart w:id="16" w:name="_Toc28359091"/>
      <w:r>
        <w:rPr>
          <w:rFonts w:hint="eastAsia" w:ascii="仿宋" w:hAnsi="仿宋" w:eastAsia="仿宋" w:cs="仿宋"/>
          <w:sz w:val="28"/>
          <w:szCs w:val="28"/>
        </w:rPr>
        <w:t>2、本项目的特定资格要求：</w:t>
      </w:r>
    </w:p>
    <w:p>
      <w:pPr>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具有有效的企业法人营业执照或事业单位法人证书；（2）具有交通部门颁发的符合新等级标准的公路综合乙级及以上试验检测资质；（3）具有省级及以上质量技术监督部门颁发的CMA计量认证证书且在有效期内。</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拟派项目负责人：具备工程师职称，持有公路工程试验检测工程师资格证书，并具有3年以上试验检测工作经验。</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、供应商存在以下不良信用记录情形之一的，不得推荐为成交候选供应商，不得确定为成交供应商：</w:t>
      </w:r>
    </w:p>
    <w:p>
      <w:pPr>
        <w:spacing w:line="480" w:lineRule="exact"/>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spacing w:line="480" w:lineRule="exact"/>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spacing w:line="480" w:lineRule="exact"/>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56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sz w:val="28"/>
          <w:szCs w:val="28"/>
          <w:lang w:val="en-US" w:eastAsia="zh-CN"/>
        </w:rPr>
        <w:t>5、</w:t>
      </w:r>
      <w:r>
        <w:rPr>
          <w:rFonts w:hint="eastAsia" w:ascii="仿宋" w:hAnsi="仿宋" w:eastAsia="仿宋" w:cs="仿宋"/>
          <w:kern w:val="2"/>
          <w:sz w:val="28"/>
          <w:szCs w:val="28"/>
          <w:lang w:val="en-US" w:eastAsia="zh-CN" w:bidi="ar-SA"/>
        </w:rPr>
        <w:t>项目负责人必须是本单位工作人员。承包人需提供所属社保机构出具的包括承包截止日所属月份（含）为基点起往前计算已经过去的连续5个月内不少于连续缴费3个月的拟委任的</w:t>
      </w:r>
      <w:r>
        <w:rPr>
          <w:rFonts w:hint="eastAsia" w:ascii="仿宋" w:hAnsi="仿宋" w:eastAsia="仿宋" w:cs="仿宋"/>
          <w:color w:val="auto"/>
          <w:kern w:val="2"/>
          <w:sz w:val="28"/>
          <w:szCs w:val="28"/>
          <w:lang w:val="en-US" w:eastAsia="zh-CN" w:bidi="ar-SA"/>
        </w:rPr>
        <w:t>项目经理的社保缴费清单等社保缴费证</w:t>
      </w:r>
      <w:r>
        <w:rPr>
          <w:rFonts w:hint="eastAsia" w:ascii="仿宋" w:hAnsi="仿宋" w:eastAsia="仿宋" w:cs="仿宋"/>
          <w:kern w:val="2"/>
          <w:sz w:val="28"/>
          <w:szCs w:val="28"/>
          <w:lang w:val="en-US" w:eastAsia="zh-CN" w:bidi="ar-SA"/>
        </w:rPr>
        <w:t>明原件（例：7月19日发包，则连续5个月是指7月、6月、5月、4月、3月；连续3个月是指7月、6月、5月或6月、5月、4月或5月、4月、3月，其他类推）。社保缴费证明或提供的社保缴费证明不满足发包要求的，其承包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4"/>
        <w:adjustRightInd/>
        <w:spacing w:before="0" w:after="0" w:line="480" w:lineRule="exact"/>
        <w:jc w:val="both"/>
        <w:textAlignment w:val="auto"/>
        <w:rPr>
          <w:rFonts w:hint="eastAsia" w:ascii="黑体" w:hAnsi="黑体" w:cs="黑体"/>
          <w:b w:val="0"/>
          <w:bCs/>
          <w:sz w:val="28"/>
          <w:szCs w:val="28"/>
        </w:rPr>
      </w:pPr>
      <w:bookmarkStart w:id="17" w:name="_Toc35393631"/>
      <w:bookmarkStart w:id="18" w:name="_Toc35393800"/>
      <w:bookmarkStart w:id="19" w:name="_Toc15899"/>
      <w:r>
        <w:rPr>
          <w:rFonts w:hint="eastAsia" w:ascii="黑体" w:hAnsi="黑体" w:cs="黑体"/>
          <w:b w:val="0"/>
          <w:bCs/>
          <w:sz w:val="28"/>
          <w:szCs w:val="28"/>
        </w:rPr>
        <w:t>三、获取采购文件</w:t>
      </w:r>
      <w:bookmarkEnd w:id="15"/>
      <w:bookmarkEnd w:id="16"/>
      <w:bookmarkEnd w:id="17"/>
      <w:bookmarkEnd w:id="18"/>
      <w:bookmarkEnd w:id="19"/>
    </w:p>
    <w:p>
      <w:pPr>
        <w:pStyle w:val="4"/>
        <w:adjustRightInd/>
        <w:spacing w:before="0" w:after="0" w:line="480" w:lineRule="exact"/>
        <w:jc w:val="both"/>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1、时间：自公告发布之日起至谈判时间前</w:t>
      </w:r>
      <w:bookmarkStart w:id="20" w:name="_Toc28359092"/>
      <w:bookmarkStart w:id="21" w:name="_Toc35393801"/>
      <w:bookmarkStart w:id="22" w:name="_Toc35393632"/>
      <w:bookmarkStart w:id="23" w:name="_Toc28359015"/>
      <w:bookmarkStart w:id="24" w:name="_Toc13207"/>
    </w:p>
    <w:p>
      <w:pPr>
        <w:spacing w:line="480" w:lineRule="exact"/>
        <w:rPr>
          <w:rFonts w:hint="eastAsia" w:ascii="仿宋" w:hAnsi="仿宋" w:eastAsia="仿宋" w:cs="仿宋"/>
          <w:b w:val="0"/>
          <w:kern w:val="2"/>
          <w:sz w:val="28"/>
          <w:szCs w:val="28"/>
          <w:lang w:val="en-US" w:eastAsia="zh-CN" w:bidi="ar-SA"/>
        </w:rPr>
      </w:pPr>
      <w:r>
        <w:rPr>
          <w:rFonts w:hint="eastAsia" w:ascii="仿宋" w:hAnsi="仿宋" w:eastAsia="仿宋" w:cs="仿宋"/>
          <w:sz w:val="28"/>
          <w:szCs w:val="28"/>
          <w:lang w:val="en-US" w:eastAsia="zh-CN"/>
        </w:rPr>
        <w:t>2、</w:t>
      </w:r>
      <w:r>
        <w:rPr>
          <w:rFonts w:hint="eastAsia" w:ascii="仿宋" w:hAnsi="仿宋" w:eastAsia="仿宋" w:cs="仿宋"/>
          <w:sz w:val="28"/>
          <w:szCs w:val="28"/>
        </w:rPr>
        <w:t>地点：</w:t>
      </w:r>
      <w:r>
        <w:rPr>
          <w:rFonts w:hint="eastAsia" w:ascii="仿宋" w:hAnsi="仿宋" w:eastAsia="仿宋" w:cs="仿宋"/>
          <w:b w:val="0"/>
          <w:kern w:val="2"/>
          <w:sz w:val="28"/>
          <w:szCs w:val="28"/>
          <w:lang w:val="en-US" w:eastAsia="zh-CN" w:bidi="ar-SA"/>
        </w:rPr>
        <w:t>霍山永达工程咨询有限公司（http://www.hsydgczx.com）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exact"/>
        <w:ind w:left="0" w:right="0"/>
        <w:jc w:val="left"/>
        <w:rPr>
          <w:rFonts w:ascii="仿宋" w:hAnsi="仿宋" w:eastAsia="仿宋" w:cs="仿宋"/>
          <w:sz w:val="28"/>
          <w:szCs w:val="28"/>
        </w:rPr>
      </w:pPr>
      <w:r>
        <w:rPr>
          <w:rFonts w:hint="eastAsia" w:ascii="仿宋" w:hAnsi="仿宋" w:eastAsia="仿宋" w:cs="仿宋"/>
          <w:b w:val="0"/>
          <w:kern w:val="2"/>
          <w:sz w:val="28"/>
          <w:szCs w:val="28"/>
          <w:lang w:val="en-US" w:eastAsia="zh-CN" w:bidi="ar-SA"/>
        </w:rPr>
        <w:t>3、获取</w:t>
      </w:r>
      <w:r>
        <w:rPr>
          <w:rFonts w:hint="eastAsia" w:ascii="仿宋" w:hAnsi="仿宋" w:eastAsia="仿宋" w:cs="仿宋"/>
          <w:sz w:val="28"/>
          <w:szCs w:val="28"/>
        </w:rPr>
        <w:t>方式：</w:t>
      </w:r>
      <w:r>
        <w:rPr>
          <w:rFonts w:hint="eastAsia" w:ascii="仿宋" w:hAnsi="仿宋" w:eastAsia="仿宋" w:cs="仿宋"/>
          <w:sz w:val="28"/>
          <w:szCs w:val="28"/>
          <w:lang w:val="en-US" w:eastAsia="zh-CN"/>
        </w:rPr>
        <w:t>供应商自行至霍山永达工程咨询有限公司领取本项目谈判文件及相关资料。</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4"/>
        <w:adjustRightInd/>
        <w:spacing w:before="0" w:after="0" w:line="48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20"/>
      <w:bookmarkEnd w:id="21"/>
      <w:bookmarkEnd w:id="22"/>
      <w:bookmarkEnd w:id="23"/>
      <w:r>
        <w:rPr>
          <w:rFonts w:hint="eastAsia" w:ascii="黑体" w:hAnsi="黑体" w:cs="黑体"/>
          <w:b w:val="0"/>
          <w:bCs/>
          <w:sz w:val="28"/>
          <w:szCs w:val="28"/>
        </w:rPr>
        <w:t>提交</w:t>
      </w:r>
      <w:bookmarkEnd w:id="24"/>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spacing w:line="480" w:lineRule="exact"/>
        <w:rPr>
          <w:rFonts w:ascii="仿宋" w:hAnsi="仿宋" w:eastAsia="仿宋" w:cs="仿宋"/>
          <w:sz w:val="28"/>
          <w:szCs w:val="28"/>
        </w:rPr>
      </w:pPr>
      <w:r>
        <w:rPr>
          <w:rFonts w:hint="eastAsia" w:ascii="仿宋" w:hAnsi="仿宋" w:eastAsia="仿宋" w:cs="仿宋"/>
          <w:sz w:val="28"/>
          <w:szCs w:val="28"/>
        </w:rPr>
        <w:t>2、递交方式：现场递交</w:t>
      </w:r>
    </w:p>
    <w:p>
      <w:pPr>
        <w:spacing w:line="480" w:lineRule="exact"/>
        <w:rPr>
          <w:rFonts w:hint="default" w:ascii="仿宋" w:hAnsi="仿宋" w:eastAsia="仿宋" w:cs="仿宋"/>
          <w:b w:val="0"/>
          <w:bCs w:val="0"/>
          <w:sz w:val="28"/>
          <w:szCs w:val="28"/>
          <w:lang w:val="en-US" w:eastAsia="zh-CN"/>
        </w:rPr>
      </w:pPr>
      <w:r>
        <w:rPr>
          <w:rFonts w:hint="eastAsia" w:ascii="仿宋" w:hAnsi="仿宋" w:eastAsia="仿宋" w:cs="仿宋"/>
          <w:sz w:val="28"/>
          <w:szCs w:val="28"/>
        </w:rPr>
        <w:t>3、递交地点：</w:t>
      </w:r>
      <w:r>
        <w:rPr>
          <w:rFonts w:hint="eastAsia" w:ascii="仿宋" w:hAnsi="仿宋" w:eastAsia="仿宋" w:cs="仿宋"/>
          <w:b w:val="0"/>
          <w:bCs w:val="0"/>
          <w:sz w:val="28"/>
          <w:szCs w:val="28"/>
          <w:lang w:val="en-US" w:eastAsia="zh-CN"/>
        </w:rPr>
        <w:t>霍山永达工程咨询有限公司（霍山县中兴南路14号）</w:t>
      </w:r>
    </w:p>
    <w:p>
      <w:pPr>
        <w:pStyle w:val="4"/>
        <w:adjustRightInd/>
        <w:spacing w:before="0" w:after="0" w:line="480" w:lineRule="exact"/>
        <w:jc w:val="both"/>
        <w:textAlignment w:val="auto"/>
        <w:rPr>
          <w:rFonts w:ascii="黑体" w:hAnsi="黑体" w:cs="黑体"/>
          <w:b w:val="0"/>
          <w:bCs/>
          <w:sz w:val="28"/>
          <w:szCs w:val="28"/>
        </w:rPr>
      </w:pPr>
      <w:bookmarkStart w:id="25" w:name="_Toc28359016"/>
      <w:bookmarkStart w:id="26" w:name="_Toc31128"/>
      <w:bookmarkStart w:id="27" w:name="_Toc35393802"/>
      <w:bookmarkStart w:id="28" w:name="_Toc28359093"/>
      <w:bookmarkStart w:id="29" w:name="_Toc35393633"/>
      <w:r>
        <w:rPr>
          <w:rFonts w:hint="eastAsia" w:ascii="黑体" w:hAnsi="黑体" w:cs="黑体"/>
          <w:b w:val="0"/>
          <w:bCs/>
          <w:sz w:val="28"/>
          <w:szCs w:val="28"/>
        </w:rPr>
        <w:t>五、响应文件开启</w:t>
      </w:r>
      <w:bookmarkEnd w:id="25"/>
      <w:bookmarkEnd w:id="26"/>
      <w:bookmarkEnd w:id="27"/>
      <w:bookmarkEnd w:id="28"/>
      <w:bookmarkEnd w:id="29"/>
    </w:p>
    <w:p>
      <w:pPr>
        <w:spacing w:line="480" w:lineRule="exact"/>
        <w:rPr>
          <w:rFonts w:ascii="仿宋" w:hAnsi="仿宋" w:eastAsia="仿宋" w:cs="仿宋"/>
          <w:color w:val="FF0000"/>
          <w:sz w:val="28"/>
          <w:szCs w:val="28"/>
        </w:rPr>
      </w:pPr>
      <w:bookmarkStart w:id="30" w:name="_Toc35393634"/>
      <w:bookmarkStart w:id="31" w:name="_Toc25132"/>
      <w:bookmarkStart w:id="32" w:name="_Toc35393803"/>
      <w:bookmarkStart w:id="33" w:name="_Toc28359017"/>
      <w:bookmarkStart w:id="34" w:name="_Toc28359094"/>
      <w:r>
        <w:rPr>
          <w:rFonts w:hint="eastAsia" w:ascii="仿宋" w:hAnsi="仿宋" w:eastAsia="仿宋" w:cs="仿宋"/>
          <w:sz w:val="28"/>
          <w:szCs w:val="28"/>
        </w:rPr>
        <w:t>1、开启时间：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spacing w:line="480" w:lineRule="exact"/>
        <w:rPr>
          <w:rFonts w:ascii="仿宋" w:hAnsi="仿宋" w:eastAsia="仿宋" w:cs="仿宋"/>
          <w:sz w:val="28"/>
          <w:szCs w:val="28"/>
        </w:rPr>
      </w:pPr>
      <w:r>
        <w:rPr>
          <w:rFonts w:hint="eastAsia" w:ascii="仿宋" w:hAnsi="仿宋" w:eastAsia="仿宋" w:cs="仿宋"/>
          <w:sz w:val="28"/>
          <w:szCs w:val="28"/>
        </w:rPr>
        <w:t>2、开启地点：</w:t>
      </w:r>
      <w:r>
        <w:rPr>
          <w:rFonts w:hint="eastAsia" w:ascii="仿宋" w:hAnsi="仿宋" w:eastAsia="仿宋" w:cs="仿宋"/>
          <w:b w:val="0"/>
          <w:bCs w:val="0"/>
          <w:sz w:val="28"/>
          <w:szCs w:val="28"/>
          <w:lang w:val="en-US" w:eastAsia="zh-CN"/>
        </w:rPr>
        <w:t>霍山永达工程咨询有限公司（霍山县中兴南路14号）</w:t>
      </w:r>
    </w:p>
    <w:p>
      <w:pPr>
        <w:pStyle w:val="4"/>
        <w:adjustRightInd/>
        <w:spacing w:before="0" w:after="0" w:line="48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30"/>
      <w:bookmarkEnd w:id="31"/>
      <w:bookmarkEnd w:id="32"/>
      <w:bookmarkEnd w:id="33"/>
      <w:bookmarkEnd w:id="34"/>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spacing w:line="480" w:lineRule="exact"/>
        <w:rPr>
          <w:rFonts w:ascii="黑体" w:hAnsi="黑体" w:eastAsia="黑体" w:cs="黑体"/>
          <w:sz w:val="28"/>
          <w:szCs w:val="28"/>
        </w:rPr>
      </w:pPr>
      <w:r>
        <w:rPr>
          <w:rFonts w:hint="eastAsia" w:ascii="黑体" w:hAnsi="黑体" w:eastAsia="黑体" w:cs="黑体"/>
          <w:sz w:val="28"/>
          <w:szCs w:val="28"/>
        </w:rPr>
        <w:t>七、</w:t>
      </w:r>
      <w:bookmarkStart w:id="35" w:name="_Toc35393804"/>
      <w:bookmarkStart w:id="36" w:name="_Toc35393635"/>
      <w:r>
        <w:rPr>
          <w:rFonts w:hint="eastAsia" w:ascii="黑体" w:hAnsi="黑体" w:eastAsia="黑体" w:cs="黑体"/>
          <w:sz w:val="28"/>
          <w:szCs w:val="28"/>
        </w:rPr>
        <w:t>其他事宜</w:t>
      </w:r>
      <w:bookmarkEnd w:id="35"/>
      <w:bookmarkEnd w:id="36"/>
      <w:bookmarkStart w:id="37" w:name="_Toc35393805"/>
      <w:bookmarkStart w:id="38" w:name="_Toc35393636"/>
      <w:bookmarkStart w:id="39" w:name="_Toc28359095"/>
      <w:bookmarkStart w:id="40" w:name="_Toc28359018"/>
    </w:p>
    <w:p>
      <w:pPr>
        <w:spacing w:line="480" w:lineRule="exact"/>
        <w:rPr>
          <w:rFonts w:hint="eastAsia" w:ascii="仿宋" w:hAnsi="仿宋" w:eastAsia="仿宋" w:cs="仿宋"/>
          <w:color w:val="auto"/>
          <w:sz w:val="28"/>
          <w:szCs w:val="28"/>
          <w:lang w:val="en-US" w:eastAsia="zh-CN"/>
        </w:rPr>
      </w:pPr>
      <w:bookmarkStart w:id="41" w:name="_Toc21256"/>
      <w:r>
        <w:rPr>
          <w:rFonts w:hint="eastAsia" w:ascii="仿宋" w:hAnsi="仿宋" w:eastAsia="仿宋" w:cs="仿宋"/>
          <w:color w:val="auto"/>
          <w:sz w:val="28"/>
          <w:szCs w:val="28"/>
          <w:lang w:val="en-US" w:eastAsia="zh-CN"/>
        </w:rPr>
        <w:t>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谈判会议者，响应文件不予接受，谈判资格无效。</w:t>
      </w:r>
    </w:p>
    <w:p>
      <w:pPr>
        <w:spacing w:line="480" w:lineRule="exact"/>
        <w:rPr>
          <w:rFonts w:ascii="仿宋" w:hAnsi="仿宋" w:eastAsia="仿宋" w:cs="仿宋"/>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、答疑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供应商如果对本项目内容有相关疑问，可以以邮件形式提出，对采购文件进行的澄清、更正或更改，将在</w:t>
      </w:r>
      <w:r>
        <w:rPr>
          <w:rFonts w:hint="eastAsia" w:ascii="仿宋" w:hAnsi="仿宋" w:eastAsia="仿宋" w:cs="仿宋"/>
          <w:b w:val="0"/>
          <w:kern w:val="2"/>
          <w:sz w:val="28"/>
          <w:szCs w:val="28"/>
          <w:lang w:val="en-US" w:eastAsia="zh-CN" w:bidi="ar-SA"/>
        </w:rPr>
        <w:t>霍山永达工程咨询有限公司（http://www.hsydgczx.com）</w:t>
      </w:r>
      <w:r>
        <w:rPr>
          <w:rFonts w:hint="eastAsia" w:ascii="仿宋" w:hAnsi="仿宋" w:eastAsia="仿宋" w:cs="仿宋"/>
          <w:color w:val="auto"/>
          <w:sz w:val="28"/>
          <w:szCs w:val="28"/>
        </w:rPr>
        <w:t>网站上及时发布，该公告内容为采购文件的组成部分，对供应商具有同样约束力效力。供应商应主动上网查询，供应商须自行承担因未及时关注相关信息而引发的相关责任。</w:t>
      </w:r>
    </w:p>
    <w:p>
      <w:pPr>
        <w:spacing w:line="480" w:lineRule="exact"/>
        <w:rPr>
          <w:rFonts w:ascii="仿宋" w:hAnsi="仿宋" w:eastAsia="仿宋" w:cs="仿宋"/>
          <w:sz w:val="28"/>
          <w:szCs w:val="28"/>
        </w:rPr>
      </w:pPr>
      <w:r>
        <w:rPr>
          <w:rFonts w:hint="eastAsia" w:ascii="仿宋" w:hAnsi="仿宋" w:eastAsia="仿宋" w:cs="仿宋"/>
          <w:sz w:val="28"/>
          <w:szCs w:val="28"/>
          <w:lang w:val="en-US" w:eastAsia="zh-CN"/>
        </w:rPr>
        <w:t>3、本项目相</w:t>
      </w:r>
      <w:r>
        <w:rPr>
          <w:rFonts w:hint="eastAsia" w:ascii="仿宋" w:hAnsi="仿宋" w:eastAsia="仿宋" w:cs="仿宋"/>
          <w:sz w:val="28"/>
          <w:szCs w:val="28"/>
        </w:rPr>
        <w:t>关公告在</w:t>
      </w:r>
      <w:r>
        <w:rPr>
          <w:rFonts w:hint="eastAsia" w:ascii="仿宋" w:hAnsi="仿宋" w:eastAsia="仿宋" w:cs="仿宋"/>
          <w:sz w:val="28"/>
          <w:szCs w:val="28"/>
          <w:lang w:eastAsia="zh-CN"/>
        </w:rPr>
        <w:t>霍山永达工程咨询有限公司（http://www.hsydgczx.com）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spacing w:line="480" w:lineRule="exact"/>
        <w:rPr>
          <w:rFonts w:ascii="仿宋" w:hAnsi="仿宋" w:eastAsia="仿宋" w:cs="仿宋"/>
          <w:sz w:val="28"/>
          <w:szCs w:val="28"/>
          <w:highlight w:val="yellow"/>
        </w:rPr>
      </w:pPr>
      <w:r>
        <w:rPr>
          <w:rFonts w:hint="eastAsia" w:ascii="仿宋" w:hAnsi="仿宋" w:eastAsia="仿宋" w:cs="仿宋"/>
          <w:sz w:val="28"/>
          <w:szCs w:val="28"/>
          <w:lang w:val="en-US" w:eastAsia="zh-CN"/>
        </w:rPr>
        <w:t>4</w:t>
      </w:r>
      <w:r>
        <w:rPr>
          <w:rFonts w:hint="eastAsia" w:ascii="仿宋" w:hAnsi="仿宋" w:eastAsia="仿宋" w:cs="仿宋"/>
          <w:sz w:val="28"/>
          <w:szCs w:val="28"/>
        </w:rPr>
        <w:t>、严禁恶意低价或恶意高价竞标，对恶意低价或恶意高价竞标的，</w:t>
      </w:r>
      <w:r>
        <w:rPr>
          <w:rFonts w:hint="eastAsia" w:ascii="仿宋" w:hAnsi="仿宋" w:eastAsia="仿宋" w:cs="仿宋"/>
          <w:sz w:val="28"/>
          <w:szCs w:val="28"/>
          <w:highlight w:val="none"/>
        </w:rPr>
        <w:t>采购人有权调查处理</w:t>
      </w:r>
      <w:r>
        <w:rPr>
          <w:rFonts w:hint="eastAsia" w:ascii="仿宋" w:hAnsi="仿宋" w:eastAsia="仿宋" w:cs="仿宋"/>
          <w:sz w:val="28"/>
          <w:szCs w:val="28"/>
        </w:rPr>
        <w:t xml:space="preserve">，经查证属实的，其响应资格无效，同时给予限制投标资格等处理。 </w:t>
      </w:r>
    </w:p>
    <w:p>
      <w:pPr>
        <w:pStyle w:val="4"/>
        <w:adjustRightInd/>
        <w:spacing w:before="0" w:after="0" w:line="480" w:lineRule="exact"/>
        <w:ind w:firstLine="560" w:firstLineChars="200"/>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7"/>
      <w:bookmarkEnd w:id="38"/>
      <w:bookmarkEnd w:id="39"/>
      <w:bookmarkEnd w:id="40"/>
      <w:bookmarkEnd w:id="41"/>
    </w:p>
    <w:p>
      <w:pPr>
        <w:pStyle w:val="4"/>
        <w:adjustRightInd/>
        <w:spacing w:before="0" w:after="0" w:line="480" w:lineRule="exact"/>
        <w:ind w:firstLine="560" w:firstLineChars="200"/>
        <w:jc w:val="both"/>
        <w:textAlignment w:val="auto"/>
        <w:rPr>
          <w:rFonts w:ascii="仿宋" w:hAnsi="仿宋" w:eastAsia="仿宋" w:cs="仿宋"/>
          <w:b w:val="0"/>
          <w:bCs/>
          <w:sz w:val="28"/>
          <w:szCs w:val="28"/>
        </w:rPr>
      </w:pPr>
      <w:bookmarkStart w:id="42" w:name="_Toc35393637"/>
      <w:bookmarkStart w:id="43" w:name="_Toc28359019"/>
      <w:bookmarkStart w:id="44" w:name="_Toc35393806"/>
      <w:bookmarkStart w:id="45" w:name="_Toc12167"/>
      <w:bookmarkStart w:id="46" w:name="_Toc28359096"/>
      <w:r>
        <w:rPr>
          <w:rFonts w:hint="eastAsia" w:ascii="仿宋" w:hAnsi="仿宋" w:eastAsia="仿宋" w:cs="仿宋"/>
          <w:b w:val="0"/>
          <w:bCs/>
          <w:sz w:val="28"/>
          <w:szCs w:val="28"/>
        </w:rPr>
        <w:t>1、采购人信息</w:t>
      </w:r>
      <w:bookmarkEnd w:id="42"/>
      <w:bookmarkEnd w:id="43"/>
      <w:bookmarkEnd w:id="44"/>
      <w:bookmarkEnd w:id="45"/>
      <w:bookmarkEnd w:id="46"/>
    </w:p>
    <w:p>
      <w:pPr>
        <w:spacing w:line="480" w:lineRule="exact"/>
        <w:ind w:firstLine="560" w:firstLineChars="200"/>
        <w:rPr>
          <w:rFonts w:hint="eastAsia" w:ascii="仿宋" w:hAnsi="仿宋" w:eastAsia="仿宋" w:cs="仿宋"/>
          <w:bCs/>
          <w:sz w:val="28"/>
          <w:szCs w:val="28"/>
          <w:lang w:eastAsia="zh-CN"/>
        </w:rPr>
      </w:pPr>
      <w:bookmarkStart w:id="47" w:name="_Toc28359097"/>
      <w:bookmarkStart w:id="48" w:name="_Toc28359020"/>
      <w:bookmarkStart w:id="49" w:name="_Toc35393638"/>
      <w:bookmarkStart w:id="50" w:name="_Toc35393807"/>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霍山县地方公路管理局</w:t>
      </w:r>
    </w:p>
    <w:p>
      <w:pPr>
        <w:spacing w:line="480" w:lineRule="exact"/>
        <w:ind w:firstLine="560" w:firstLineChars="200"/>
        <w:rPr>
          <w:rFonts w:hint="default" w:ascii="仿宋" w:hAnsi="仿宋" w:eastAsia="仿宋" w:cs="仿宋"/>
          <w:bCs/>
          <w:sz w:val="28"/>
          <w:szCs w:val="28"/>
          <w:lang w:val="en-US"/>
        </w:rPr>
      </w:pPr>
      <w:r>
        <w:rPr>
          <w:rFonts w:hint="eastAsia" w:ascii="仿宋" w:hAnsi="仿宋" w:eastAsia="仿宋" w:cs="仿宋"/>
          <w:bCs/>
          <w:sz w:val="28"/>
          <w:szCs w:val="28"/>
        </w:rPr>
        <w:t>地址：</w:t>
      </w:r>
      <w:r>
        <w:rPr>
          <w:rFonts w:hint="eastAsia" w:ascii="仿宋" w:hAnsi="仿宋" w:eastAsia="仿宋" w:cs="仿宋"/>
          <w:bCs/>
          <w:sz w:val="28"/>
          <w:szCs w:val="28"/>
          <w:lang w:eastAsia="zh-CN"/>
        </w:rPr>
        <w:t>霍山县衡山镇佛子岭西路108号</w:t>
      </w:r>
    </w:p>
    <w:p>
      <w:pPr>
        <w:spacing w:line="480" w:lineRule="exact"/>
        <w:ind w:left="559" w:leftChars="266" w:firstLine="0" w:firstLineChars="0"/>
        <w:rPr>
          <w:rFonts w:ascii="仿宋" w:hAnsi="仿宋" w:eastAsia="仿宋" w:cs="仿宋"/>
          <w:bCs/>
          <w:sz w:val="28"/>
          <w:szCs w:val="28"/>
        </w:rPr>
      </w:pPr>
      <w:r>
        <w:rPr>
          <w:rFonts w:hint="eastAsia" w:ascii="仿宋" w:hAnsi="仿宋" w:eastAsia="仿宋" w:cs="仿宋"/>
          <w:bCs/>
          <w:sz w:val="28"/>
          <w:szCs w:val="28"/>
        </w:rPr>
        <w:t>联系电话：</w:t>
      </w:r>
      <w:r>
        <w:rPr>
          <w:rFonts w:hint="eastAsia" w:ascii="仿宋" w:hAnsi="仿宋" w:eastAsia="仿宋" w:cs="仿宋"/>
          <w:bCs/>
          <w:sz w:val="28"/>
          <w:szCs w:val="28"/>
          <w:lang w:val="en-US" w:eastAsia="zh-CN"/>
        </w:rPr>
        <w:t xml:space="preserve">田先生 13339119799 </w:t>
      </w:r>
      <w:r>
        <w:rPr>
          <w:rFonts w:hint="eastAsia" w:ascii="仿宋" w:hAnsi="仿宋" w:eastAsia="仿宋" w:cs="仿宋"/>
          <w:bCs/>
          <w:sz w:val="28"/>
          <w:szCs w:val="28"/>
        </w:rPr>
        <w:br w:type="textWrapping"/>
      </w:r>
      <w:r>
        <w:rPr>
          <w:rFonts w:hint="eastAsia" w:ascii="仿宋" w:hAnsi="仿宋" w:eastAsia="仿宋" w:cs="仿宋"/>
          <w:bCs/>
          <w:sz w:val="28"/>
          <w:szCs w:val="28"/>
        </w:rPr>
        <w:t>2、采购代理机构信息</w:t>
      </w:r>
      <w:bookmarkEnd w:id="47"/>
      <w:bookmarkEnd w:id="48"/>
      <w:bookmarkEnd w:id="49"/>
      <w:bookmarkEnd w:id="50"/>
      <w:bookmarkStart w:id="51" w:name="_Toc35393639"/>
      <w:bookmarkStart w:id="52" w:name="_Toc28359021"/>
      <w:bookmarkStart w:id="53" w:name="_Toc35393808"/>
      <w:bookmarkStart w:id="54" w:name="_Toc28359098"/>
    </w:p>
    <w:p>
      <w:pPr>
        <w:spacing w:line="48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spacing w:line="48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z w:val="28"/>
          <w:szCs w:val="28"/>
          <w:lang w:eastAsia="zh-CN"/>
        </w:rPr>
        <w:t>霍山县中兴南路14号</w:t>
      </w:r>
    </w:p>
    <w:p>
      <w:pPr>
        <w:spacing w:line="48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w:t>
      </w:r>
    </w:p>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1"/>
      <w:bookmarkEnd w:id="52"/>
      <w:bookmarkEnd w:id="53"/>
      <w:bookmarkEnd w:id="54"/>
    </w:p>
    <w:p>
      <w:pPr>
        <w:widowControl/>
        <w:spacing w:line="48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p>
    <w:p>
      <w:pPr>
        <w:widowControl/>
        <w:spacing w:line="48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0564-5022803，18005649621</w:t>
      </w:r>
    </w:p>
    <w:p>
      <w:pPr>
        <w:spacing w:line="480" w:lineRule="exact"/>
        <w:ind w:firstLine="560" w:firstLineChars="200"/>
        <w:jc w:val="right"/>
        <w:rPr>
          <w:rFonts w:hint="eastAsia" w:ascii="仿宋" w:hAnsi="仿宋" w:eastAsia="仿宋" w:cs="仿宋"/>
          <w:bCs/>
          <w:sz w:val="28"/>
          <w:szCs w:val="28"/>
        </w:rPr>
      </w:pPr>
    </w:p>
    <w:p>
      <w:pPr>
        <w:spacing w:line="480" w:lineRule="exact"/>
        <w:jc w:val="both"/>
        <w:rPr>
          <w:rFonts w:hint="eastAsia" w:ascii="仿宋" w:hAnsi="仿宋" w:eastAsia="仿宋" w:cs="仿宋"/>
          <w:bCs/>
          <w:sz w:val="28"/>
          <w:szCs w:val="28"/>
        </w:rPr>
      </w:pPr>
    </w:p>
    <w:p>
      <w:pPr>
        <w:spacing w:line="48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30</w:t>
      </w:r>
      <w:r>
        <w:rPr>
          <w:rFonts w:hint="eastAsia" w:ascii="仿宋" w:hAnsi="仿宋" w:eastAsia="仿宋" w:cs="仿宋"/>
          <w:bCs/>
          <w:sz w:val="28"/>
          <w:szCs w:val="28"/>
        </w:rPr>
        <w:t>日</w:t>
      </w:r>
    </w:p>
    <w:p>
      <w:pPr>
        <w:rPr>
          <w:rFonts w:hint="eastAsia" w:ascii="宋体" w:hAnsi="宋体" w:eastAsia="宋体" w:cs="宋体"/>
          <w:sz w:val="28"/>
          <w:szCs w:val="28"/>
        </w:rPr>
      </w:pPr>
      <w:bookmarkStart w:id="55" w:name="_Toc18386"/>
      <w:r>
        <w:rPr>
          <w:rFonts w:hint="eastAsia" w:ascii="宋体" w:hAnsi="宋体" w:eastAsia="宋体" w:cs="宋体"/>
          <w:sz w:val="28"/>
          <w:szCs w:val="28"/>
        </w:rPr>
        <w:br w:type="page"/>
      </w:r>
    </w:p>
    <w:p>
      <w:pPr>
        <w:pStyle w:val="4"/>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5"/>
    </w:p>
    <w:p>
      <w:pPr>
        <w:pStyle w:val="4"/>
        <w:spacing w:before="0" w:after="0" w:line="560" w:lineRule="exact"/>
        <w:jc w:val="center"/>
        <w:rPr>
          <w:rFonts w:ascii="宋体" w:hAnsi="宋体" w:eastAsia="宋体" w:cs="宋体"/>
          <w:sz w:val="24"/>
          <w:szCs w:val="24"/>
        </w:rPr>
      </w:pPr>
      <w:bookmarkStart w:id="56" w:name="_Toc6858"/>
      <w:r>
        <w:rPr>
          <w:rFonts w:hint="eastAsia" w:ascii="宋体" w:hAnsi="宋体" w:eastAsia="宋体" w:cs="宋体"/>
          <w:sz w:val="24"/>
          <w:szCs w:val="24"/>
        </w:rPr>
        <w:t>（一）须知前附表</w:t>
      </w:r>
      <w:bookmarkEnd w:id="56"/>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60"/>
        <w:gridCol w:w="1458"/>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spacing w:line="440" w:lineRule="exact"/>
              <w:jc w:val="center"/>
              <w:rPr>
                <w:rFonts w:ascii="宋体" w:hAnsi="宋体"/>
                <w:b/>
                <w:sz w:val="24"/>
                <w:szCs w:val="24"/>
              </w:rPr>
            </w:pPr>
            <w:bookmarkStart w:id="57" w:name="_Toc438107743"/>
            <w:bookmarkStart w:id="58" w:name="_Toc216158627"/>
            <w:bookmarkStart w:id="59" w:name="_Toc363199267"/>
            <w:r>
              <w:rPr>
                <w:rFonts w:hint="eastAsia" w:ascii="宋体" w:hAnsi="宋体"/>
                <w:b/>
                <w:sz w:val="24"/>
                <w:szCs w:val="24"/>
              </w:rPr>
              <w:t>序号</w:t>
            </w:r>
          </w:p>
        </w:tc>
        <w:tc>
          <w:tcPr>
            <w:tcW w:w="1458"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542" w:type="dxa"/>
            <w:vAlign w:val="center"/>
          </w:tcPr>
          <w:p>
            <w:pPr>
              <w:pStyle w:val="99"/>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458"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542" w:type="dxa"/>
            <w:vAlign w:val="center"/>
          </w:tcPr>
          <w:p>
            <w:pPr>
              <w:spacing w:line="440" w:lineRule="exact"/>
              <w:rPr>
                <w:sz w:val="24"/>
                <w:szCs w:val="24"/>
              </w:rPr>
            </w:pPr>
            <w:r>
              <w:rPr>
                <w:rFonts w:hint="eastAsia"/>
                <w:sz w:val="24"/>
                <w:szCs w:val="24"/>
                <w:lang w:eastAsia="zh-CN"/>
              </w:rPr>
              <w:t>霍山县地方公路管理局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458"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542"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eastAsia" w:eastAsia="宋体"/>
                <w:b/>
                <w:bCs/>
                <w:sz w:val="24"/>
                <w:szCs w:val="24"/>
                <w:lang w:val="en-US" w:eastAsia="zh-CN"/>
              </w:rPr>
            </w:pPr>
            <w:r>
              <w:rPr>
                <w:rFonts w:hint="eastAsia"/>
                <w:sz w:val="24"/>
                <w:szCs w:val="24"/>
              </w:rPr>
              <w:t>地址：</w:t>
            </w:r>
            <w:r>
              <w:rPr>
                <w:rFonts w:hint="eastAsia"/>
                <w:sz w:val="24"/>
                <w:szCs w:val="24"/>
                <w:lang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542" w:type="dxa"/>
            <w:vAlign w:val="center"/>
          </w:tcPr>
          <w:p>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542" w:type="dxa"/>
            <w:vAlign w:val="center"/>
          </w:tcPr>
          <w:p>
            <w:pPr>
              <w:pStyle w:val="99"/>
              <w:widowControl w:val="0"/>
              <w:spacing w:before="0" w:beforeAutospacing="0" w:after="0" w:afterAutospacing="0" w:line="440" w:lineRule="exact"/>
              <w:jc w:val="both"/>
              <w:rPr>
                <w:rFonts w:hint="eastAsia" w:eastAsia="宋体"/>
                <w:b w:val="0"/>
                <w:bCs w:val="0"/>
                <w:sz w:val="24"/>
                <w:szCs w:val="24"/>
                <w:lang w:eastAsia="zh-CN"/>
              </w:rPr>
            </w:pPr>
            <w:r>
              <w:rPr>
                <w:rFonts w:hint="eastAsia"/>
                <w:b w:val="0"/>
                <w:bCs w:val="0"/>
                <w:sz w:val="24"/>
                <w:szCs w:val="24"/>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542" w:type="dxa"/>
            <w:vAlign w:val="center"/>
          </w:tcPr>
          <w:p>
            <w:pPr>
              <w:pStyle w:val="99"/>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S244潘黑路(K123.592-K132.987段)养护大中修及安全设施精细化提升工程检测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542" w:type="dxa"/>
            <w:vAlign w:val="center"/>
          </w:tcPr>
          <w:p>
            <w:pPr>
              <w:pStyle w:val="99"/>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1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542" w:type="dxa"/>
            <w:vAlign w:val="center"/>
          </w:tcPr>
          <w:p>
            <w:pPr>
              <w:pStyle w:val="97"/>
              <w:pBdr>
                <w:bottom w:val="none" w:color="auto" w:sz="0" w:space="0"/>
              </w:pBdr>
              <w:tabs>
                <w:tab w:val="clear" w:pos="4153"/>
                <w:tab w:val="clear" w:pos="8306"/>
              </w:tabs>
              <w:adjustRightInd/>
              <w:spacing w:line="460" w:lineRule="exact"/>
              <w:jc w:val="both"/>
              <w:rPr>
                <w:rFonts w:hint="default" w:ascii="黑体" w:hAnsi="黑体" w:eastAsia="宋体" w:cs="黑体"/>
                <w:szCs w:val="24"/>
                <w:lang w:val="en-US" w:eastAsia="zh-CN"/>
              </w:rPr>
            </w:pPr>
            <w:r>
              <w:rPr>
                <w:rFonts w:hint="default" w:ascii="黑体" w:hAnsi="黑体" w:eastAsia="宋体" w:cs="黑体"/>
                <w:szCs w:val="24"/>
                <w:lang w:val="en-US" w:eastAsia="zh-CN"/>
              </w:rPr>
              <w:t>付款方式：本项目无预付款，费用按工程进度款同比例支付；工程交工验收合格后一次性付清。备注：【承包人可以通过保证保险、银行保函（纸质、电子）等方式替代工程质量保证金，采购人不得再预留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542" w:type="dxa"/>
            <w:vAlign w:val="center"/>
          </w:tcPr>
          <w:p>
            <w:pPr>
              <w:pStyle w:val="99"/>
              <w:widowControl w:val="0"/>
              <w:spacing w:before="0" w:beforeAutospacing="0" w:after="0" w:afterAutospacing="0" w:line="440" w:lineRule="exact"/>
              <w:jc w:val="both"/>
              <w:rPr>
                <w:rFonts w:hint="eastAsia" w:eastAsia="宋体"/>
                <w:b w:val="0"/>
                <w:bCs w:val="0"/>
                <w:sz w:val="24"/>
                <w:szCs w:val="24"/>
                <w:lang w:eastAsia="zh-CN"/>
              </w:rPr>
            </w:pPr>
            <w:r>
              <w:rPr>
                <w:rFonts w:hint="eastAsia"/>
                <w:b w:val="0"/>
                <w:bCs w:val="0"/>
                <w:color w:val="auto"/>
                <w:sz w:val="24"/>
                <w:szCs w:val="24"/>
                <w:lang w:val="en-US" w:eastAsia="zh-CN"/>
              </w:rPr>
              <w:t>30</w:t>
            </w:r>
            <w:r>
              <w:rPr>
                <w:rFonts w:hint="eastAsia"/>
                <w:b w:val="0"/>
                <w:bCs w:val="0"/>
                <w:color w:val="auto"/>
                <w:sz w:val="24"/>
                <w:szCs w:val="24"/>
              </w:rPr>
              <w:t>日历</w:t>
            </w:r>
            <w:r>
              <w:rPr>
                <w:rFonts w:hint="eastAsia"/>
                <w:b w:val="0"/>
                <w:bCs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color w:val="auto"/>
                <w:kern w:val="2"/>
                <w:szCs w:val="24"/>
                <w:lang w:val="en-US"/>
              </w:rPr>
            </w:pPr>
            <w:r>
              <w:rPr>
                <w:rFonts w:hint="eastAsia" w:ascii="宋体" w:hAnsi="宋体"/>
                <w:bCs/>
                <w:color w:val="auto"/>
                <w:kern w:val="2"/>
                <w:szCs w:val="24"/>
                <w:lang w:val="en-US"/>
              </w:rPr>
              <w:t>质保期</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szCs w:val="24"/>
                <w:lang w:val="en-US" w:eastAsia="zh-CN"/>
              </w:rPr>
            </w:pPr>
            <w:r>
              <w:rPr>
                <w:rFonts w:hint="eastAsia" w:ascii="宋体" w:hAnsi="宋体" w:cs="宋体"/>
                <w:bCs/>
                <w:color w:val="auto"/>
                <w:szCs w:val="24"/>
              </w:rPr>
              <w:t>自竣工验收合格之日起</w:t>
            </w:r>
            <w:r>
              <w:rPr>
                <w:rFonts w:hint="eastAsia" w:ascii="宋体" w:hAnsi="宋体" w:cs="宋体"/>
                <w:bCs/>
                <w:color w:val="auto"/>
                <w:szCs w:val="24"/>
                <w:lang w:val="en-US" w:eastAsia="zh-CN"/>
              </w:rPr>
              <w:t>1</w:t>
            </w:r>
            <w:r>
              <w:rPr>
                <w:rFonts w:hint="eastAsia" w:ascii="宋体" w:hAnsi="宋体" w:cs="宋体"/>
                <w:bCs/>
                <w:color w:val="auto"/>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color w:val="auto"/>
                <w:szCs w:val="24"/>
              </w:rPr>
            </w:pPr>
            <w:r>
              <w:rPr>
                <w:rFonts w:hint="eastAsia" w:ascii="宋体" w:hAnsi="宋体"/>
                <w:bCs/>
                <w:color w:val="auto"/>
                <w:kern w:val="2"/>
                <w:szCs w:val="24"/>
              </w:rPr>
              <w:t>中标服务费</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bCs/>
                <w:color w:val="auto"/>
                <w:szCs w:val="24"/>
                <w:lang w:val="en-US"/>
              </w:rPr>
            </w:pPr>
            <w:r>
              <w:rPr>
                <w:rFonts w:hint="eastAsia" w:ascii="宋体" w:hAnsi="宋体" w:cs="宋体"/>
                <w:color w:val="auto"/>
                <w:szCs w:val="24"/>
                <w:highlight w:val="none"/>
              </w:rPr>
              <w:t>成交供应商须向采购代理机构交纳代理服务费</w:t>
            </w:r>
            <w:r>
              <w:rPr>
                <w:rFonts w:hint="eastAsia" w:ascii="宋体" w:hAnsi="宋体" w:cs="宋体"/>
                <w:color w:val="auto"/>
                <w:szCs w:val="24"/>
                <w:highlight w:val="none"/>
                <w:lang w:eastAsia="zh-CN"/>
              </w:rPr>
              <w:t>、</w:t>
            </w:r>
            <w:r>
              <w:rPr>
                <w:rFonts w:hint="eastAsia" w:ascii="宋体" w:hAnsi="宋体" w:cs="宋体"/>
                <w:color w:val="auto"/>
                <w:szCs w:val="24"/>
                <w:highlight w:val="none"/>
              </w:rPr>
              <w:t>专家评审费，代理服务费按国家收费标准计取，在领取成交通知书时缴纳，计算基数为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履约保证金</w:t>
            </w:r>
          </w:p>
        </w:tc>
        <w:tc>
          <w:tcPr>
            <w:tcW w:w="7542" w:type="dxa"/>
            <w:vAlign w:val="center"/>
          </w:tcPr>
          <w:p>
            <w:pPr>
              <w:pStyle w:val="97"/>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7"/>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w:t>
            </w:r>
          </w:p>
          <w:p>
            <w:pPr>
              <w:pStyle w:val="97"/>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7"/>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7"/>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7"/>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7"/>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7"/>
              <w:pBdr>
                <w:bottom w:val="none" w:color="auto" w:sz="0" w:space="0"/>
              </w:pBdr>
              <w:tabs>
                <w:tab w:val="clear" w:pos="4153"/>
                <w:tab w:val="clear" w:pos="8306"/>
              </w:tabs>
              <w:adjustRightInd/>
              <w:spacing w:line="440" w:lineRule="exact"/>
              <w:jc w:val="both"/>
              <w:textAlignment w:val="auto"/>
              <w:rPr>
                <w:rFonts w:hint="eastAsia" w:eastAsia="宋体"/>
                <w:color w:val="auto"/>
                <w:lang w:eastAsia="zh-CN"/>
              </w:rPr>
            </w:pPr>
            <w:r>
              <w:rPr>
                <w:rFonts w:hint="eastAsia" w:ascii="宋体" w:hAnsi="宋体"/>
                <w:bCs/>
                <w:color w:val="auto"/>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Cs/>
                <w:color w:val="auto"/>
                <w:kern w:val="2"/>
                <w:szCs w:val="24"/>
              </w:rPr>
              <w:t>供应商若对采购文件有关内容存在理解障碍，或认为采购文件表述有模糊不清之处，可通过</w:t>
            </w:r>
            <w:r>
              <w:rPr>
                <w:rFonts w:hint="eastAsia" w:ascii="宋体" w:hAnsi="宋体"/>
                <w:bCs/>
                <w:color w:val="auto"/>
                <w:kern w:val="2"/>
                <w:szCs w:val="24"/>
                <w:lang w:val="en-US"/>
              </w:rPr>
              <w:t>电子邮箱（</w:t>
            </w:r>
            <w:r>
              <w:rPr>
                <w:rFonts w:hint="eastAsia" w:ascii="宋体" w:hAnsi="宋体" w:cs="宋体"/>
                <w:color w:val="auto"/>
                <w:szCs w:val="24"/>
              </w:rPr>
              <w:t>递交至</w:t>
            </w:r>
            <w:r>
              <w:rPr>
                <w:rFonts w:hint="eastAsia" w:ascii="宋体" w:hAnsi="宋体" w:cs="宋体"/>
                <w:color w:val="auto"/>
                <w:szCs w:val="24"/>
                <w:lang w:val="en-US" w:eastAsia="zh-CN"/>
              </w:rPr>
              <w:t>349131019</w:t>
            </w:r>
            <w:r>
              <w:rPr>
                <w:rFonts w:hint="eastAsia" w:ascii="宋体" w:hAnsi="宋体" w:cs="宋体"/>
                <w:color w:val="auto"/>
                <w:szCs w:val="24"/>
              </w:rPr>
              <w:t>@qq.com</w:t>
            </w:r>
            <w:r>
              <w:rPr>
                <w:rFonts w:hint="eastAsia" w:ascii="宋体" w:hAnsi="宋体"/>
                <w:bCs/>
                <w:color w:val="auto"/>
                <w:kern w:val="2"/>
                <w:szCs w:val="24"/>
                <w:lang w:val="en-US"/>
              </w:rPr>
              <w:t>）</w:t>
            </w:r>
            <w:r>
              <w:rPr>
                <w:rFonts w:hint="eastAsia" w:ascii="宋体" w:hAnsi="宋体"/>
                <w:bCs/>
                <w:color w:val="auto"/>
                <w:kern w:val="2"/>
                <w:szCs w:val="24"/>
              </w:rPr>
              <w:t>提出，采购人（采购代理机构）收到供应商提问后将及时通过</w:t>
            </w:r>
            <w:r>
              <w:rPr>
                <w:rFonts w:hint="eastAsia" w:ascii="宋体" w:hAnsi="宋体"/>
                <w:bCs/>
                <w:color w:val="auto"/>
                <w:kern w:val="2"/>
                <w:szCs w:val="24"/>
                <w:lang w:val="en-US"/>
              </w:rPr>
              <w:t>邮箱</w:t>
            </w:r>
            <w:r>
              <w:rPr>
                <w:rFonts w:hint="eastAsia" w:ascii="宋体" w:hAnsi="宋体"/>
                <w:bCs/>
                <w:color w:val="auto"/>
                <w:kern w:val="2"/>
                <w:szCs w:val="24"/>
              </w:rPr>
              <w:t>回复。供应商提问（</w:t>
            </w:r>
            <w:r>
              <w:rPr>
                <w:rFonts w:hint="eastAsia" w:ascii="宋体" w:hAnsi="宋体"/>
                <w:bCs/>
                <w:color w:val="auto"/>
                <w:kern w:val="2"/>
                <w:szCs w:val="24"/>
                <w:lang w:val="en-US"/>
              </w:rPr>
              <w:t>非质疑的一般性问题</w:t>
            </w:r>
            <w:r>
              <w:rPr>
                <w:rFonts w:hint="eastAsia" w:ascii="宋体" w:hAnsi="宋体"/>
                <w:bCs/>
                <w:color w:val="auto"/>
                <w:kern w:val="2"/>
                <w:szCs w:val="24"/>
              </w:rPr>
              <w:t>）时应当隐藏自身信息，直接提出针对项目的相关疑问即可。提交成功后请供应商及时通过</w:t>
            </w:r>
            <w:r>
              <w:rPr>
                <w:rFonts w:hint="eastAsia" w:ascii="宋体" w:hAnsi="宋体"/>
                <w:bCs/>
                <w:color w:val="auto"/>
                <w:kern w:val="2"/>
                <w:szCs w:val="24"/>
                <w:lang w:val="en-US"/>
              </w:rPr>
              <w:t>发出质疑的邮箱</w:t>
            </w:r>
            <w:r>
              <w:rPr>
                <w:rFonts w:hint="eastAsia" w:ascii="宋体" w:hAnsi="宋体"/>
                <w:bCs/>
                <w:color w:val="auto"/>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Cs/>
                <w:color w:val="auto"/>
                <w:kern w:val="2"/>
                <w:szCs w:val="24"/>
              </w:rPr>
              <w:t>1、</w:t>
            </w:r>
            <w:r>
              <w:rPr>
                <w:rFonts w:hint="eastAsia" w:ascii="宋体" w:hAnsi="宋体"/>
                <w:b/>
                <w:color w:val="auto"/>
                <w:kern w:val="2"/>
                <w:szCs w:val="24"/>
              </w:rPr>
              <w:t>质疑提出</w:t>
            </w:r>
            <w:r>
              <w:rPr>
                <w:rFonts w:hint="eastAsia" w:ascii="宋体" w:hAnsi="宋体"/>
                <w:b/>
                <w:color w:val="auto"/>
                <w:kern w:val="2"/>
                <w:szCs w:val="24"/>
                <w:lang w:val="en-US"/>
              </w:rPr>
              <w:t>具体步骤</w:t>
            </w:r>
            <w:r>
              <w:rPr>
                <w:rFonts w:hint="eastAsia" w:ascii="宋体" w:hAnsi="宋体"/>
                <w:b/>
                <w:color w:val="auto"/>
                <w:kern w:val="2"/>
                <w:szCs w:val="24"/>
              </w:rPr>
              <w:t>：</w:t>
            </w:r>
            <w:r>
              <w:rPr>
                <w:rFonts w:hint="eastAsia" w:ascii="宋体" w:hAnsi="宋体"/>
                <w:bCs/>
                <w:color w:val="auto"/>
                <w:kern w:val="2"/>
                <w:szCs w:val="24"/>
              </w:rPr>
              <w:t>供应商若对采购文件有关内容存在质疑，可通过</w:t>
            </w:r>
            <w:r>
              <w:rPr>
                <w:rFonts w:hint="eastAsia" w:ascii="宋体" w:hAnsi="宋体"/>
                <w:bCs/>
                <w:color w:val="auto"/>
                <w:kern w:val="2"/>
                <w:szCs w:val="24"/>
                <w:lang w:val="en-US"/>
              </w:rPr>
              <w:t>电子邮箱（</w:t>
            </w:r>
            <w:r>
              <w:rPr>
                <w:rFonts w:hint="eastAsia" w:ascii="宋体" w:hAnsi="宋体" w:cs="宋体"/>
                <w:color w:val="auto"/>
                <w:szCs w:val="24"/>
              </w:rPr>
              <w:t>递交至邮箱</w:t>
            </w:r>
            <w:r>
              <w:rPr>
                <w:rFonts w:hint="eastAsia" w:ascii="宋体" w:hAnsi="宋体" w:cs="宋体"/>
                <w:color w:val="auto"/>
                <w:szCs w:val="24"/>
                <w:lang w:val="en-US" w:eastAsia="zh-CN"/>
              </w:rPr>
              <w:t>349131019</w:t>
            </w:r>
            <w:r>
              <w:rPr>
                <w:rFonts w:hint="eastAsia" w:ascii="宋体" w:hAnsi="宋体" w:cs="宋体"/>
                <w:color w:val="auto"/>
                <w:szCs w:val="24"/>
              </w:rPr>
              <w:t>@qq.com</w:t>
            </w:r>
            <w:r>
              <w:rPr>
                <w:rFonts w:hint="eastAsia" w:ascii="宋体" w:hAnsi="宋体"/>
                <w:bCs/>
                <w:color w:val="auto"/>
                <w:kern w:val="2"/>
                <w:szCs w:val="24"/>
                <w:lang w:val="en-US"/>
              </w:rPr>
              <w:t>）</w:t>
            </w:r>
            <w:r>
              <w:rPr>
                <w:rFonts w:hint="eastAsia" w:ascii="宋体" w:hAnsi="宋体"/>
                <w:bCs/>
                <w:color w:val="auto"/>
                <w:kern w:val="2"/>
                <w:szCs w:val="24"/>
              </w:rPr>
              <w:t>向采购人（采购代理机构）提出。质疑文件须按《政府采购质疑和投诉办法》（财政部令第94号）规定的要求制作（《质疑函》范本可通过“六安市公共资源交易中心（</w:t>
            </w:r>
            <w:r>
              <w:rPr>
                <w:rFonts w:hint="eastAsia" w:ascii="宋体" w:hAnsi="宋体"/>
                <w:bCs/>
                <w:color w:val="auto"/>
                <w:kern w:val="2"/>
                <w:szCs w:val="24"/>
                <w:lang w:eastAsia="zh-CN"/>
              </w:rPr>
              <w:t>http://www.hsydgczx.com</w:t>
            </w:r>
            <w:r>
              <w:rPr>
                <w:rFonts w:hint="eastAsia" w:ascii="宋体" w:hAnsi="宋体"/>
                <w:bCs/>
                <w:color w:val="auto"/>
                <w:kern w:val="2"/>
                <w:szCs w:val="24"/>
              </w:rPr>
              <w:t>）”-“政策法规”栏目下载），质疑文件不可匿名，须以附件形式加盖质疑人</w:t>
            </w:r>
            <w:r>
              <w:rPr>
                <w:rFonts w:hint="eastAsia" w:ascii="宋体" w:hAnsi="宋体"/>
                <w:bCs/>
                <w:color w:val="auto"/>
                <w:kern w:val="2"/>
                <w:szCs w:val="24"/>
                <w:lang w:val="en-US"/>
              </w:rPr>
              <w:t>公章</w:t>
            </w:r>
            <w:r>
              <w:rPr>
                <w:rFonts w:hint="eastAsia" w:ascii="宋体" w:hAnsi="宋体"/>
                <w:bCs/>
                <w:color w:val="auto"/>
                <w:kern w:val="2"/>
                <w:szCs w:val="24"/>
              </w:rPr>
              <w:t>签章后</w:t>
            </w:r>
            <w:r>
              <w:rPr>
                <w:rFonts w:hint="eastAsia" w:ascii="宋体" w:hAnsi="宋体"/>
                <w:bCs/>
                <w:color w:val="auto"/>
                <w:kern w:val="2"/>
                <w:szCs w:val="24"/>
                <w:lang w:val="en-US"/>
              </w:rPr>
              <w:t>扫描</w:t>
            </w:r>
            <w:r>
              <w:rPr>
                <w:rFonts w:hint="eastAsia" w:ascii="宋体" w:hAnsi="宋体"/>
                <w:bCs/>
                <w:color w:val="auto"/>
                <w:kern w:val="2"/>
                <w:szCs w:val="24"/>
              </w:rPr>
              <w:t>提交。</w:t>
            </w:r>
          </w:p>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
                <w:color w:val="auto"/>
                <w:kern w:val="2"/>
                <w:szCs w:val="24"/>
              </w:rPr>
              <w:t>2、质疑答</w:t>
            </w:r>
            <w:r>
              <w:rPr>
                <w:rFonts w:hint="eastAsia" w:ascii="宋体" w:hAnsi="宋体"/>
                <w:b/>
                <w:color w:val="auto"/>
                <w:kern w:val="2"/>
                <w:szCs w:val="24"/>
                <w:lang w:val="en-US"/>
              </w:rPr>
              <w:t>复</w:t>
            </w:r>
            <w:r>
              <w:rPr>
                <w:rFonts w:hint="eastAsia" w:ascii="宋体" w:hAnsi="宋体"/>
                <w:b/>
                <w:color w:val="auto"/>
                <w:kern w:val="2"/>
                <w:szCs w:val="24"/>
              </w:rPr>
              <w:t>获取具体步骤：</w:t>
            </w:r>
            <w:r>
              <w:rPr>
                <w:rFonts w:hint="eastAsia" w:ascii="宋体" w:hAnsi="宋体"/>
                <w:bCs/>
                <w:color w:val="auto"/>
                <w:kern w:val="2"/>
                <w:szCs w:val="24"/>
              </w:rPr>
              <w:t>采购人（采购代理机构）将通过</w:t>
            </w:r>
            <w:r>
              <w:rPr>
                <w:rFonts w:hint="eastAsia" w:ascii="宋体" w:hAnsi="宋体"/>
                <w:bCs/>
                <w:color w:val="auto"/>
                <w:kern w:val="2"/>
                <w:szCs w:val="24"/>
                <w:lang w:val="en-US"/>
              </w:rPr>
              <w:t>邮箱</w:t>
            </w:r>
            <w:r>
              <w:rPr>
                <w:rFonts w:hint="eastAsia" w:ascii="宋体" w:hAnsi="宋体"/>
                <w:bCs/>
                <w:color w:val="auto"/>
                <w:kern w:val="2"/>
                <w:szCs w:val="24"/>
              </w:rPr>
              <w:t>于收到质疑文件后七个工作日内答复，请质疑人及时</w:t>
            </w:r>
            <w:r>
              <w:rPr>
                <w:rFonts w:hint="eastAsia" w:ascii="宋体" w:hAnsi="宋体"/>
                <w:bCs/>
                <w:color w:val="auto"/>
                <w:kern w:val="2"/>
                <w:szCs w:val="24"/>
                <w:lang w:val="en-US"/>
              </w:rPr>
              <w:t>通过发出质疑的邮箱</w:t>
            </w:r>
            <w:r>
              <w:rPr>
                <w:rFonts w:hint="eastAsia" w:ascii="宋体" w:hAnsi="宋体"/>
                <w:bCs/>
                <w:color w:val="auto"/>
                <w:kern w:val="2"/>
                <w:szCs w:val="24"/>
              </w:rPr>
              <w:t>查收答疑文件。</w:t>
            </w:r>
          </w:p>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Cs/>
                <w:color w:val="auto"/>
                <w:kern w:val="2"/>
                <w:szCs w:val="24"/>
              </w:rPr>
              <w:t>3、请各潜在供应商在响应截止时间前，务</w:t>
            </w:r>
            <w:r>
              <w:rPr>
                <w:rFonts w:hint="eastAsia" w:ascii="宋体" w:hAnsi="宋体" w:eastAsia="宋体" w:cs="Times New Roman"/>
                <w:bCs/>
                <w:color w:val="auto"/>
                <w:kern w:val="2"/>
                <w:szCs w:val="24"/>
              </w:rPr>
              <w:t>必登录“</w:t>
            </w:r>
            <w:r>
              <w:rPr>
                <w:rFonts w:hint="eastAsia" w:ascii="宋体" w:hAnsi="宋体" w:cs="Times New Roman"/>
                <w:bCs/>
                <w:color w:val="auto"/>
                <w:kern w:val="2"/>
                <w:szCs w:val="24"/>
                <w:lang w:eastAsia="zh-CN"/>
              </w:rPr>
              <w:t>霍山永达工程咨询有限公司（http://www.hsydgczx.com）</w:t>
            </w:r>
            <w:r>
              <w:rPr>
                <w:rFonts w:hint="eastAsia" w:ascii="宋体" w:hAnsi="宋体" w:eastAsia="宋体" w:cs="Times New Roman"/>
                <w:bCs/>
                <w:color w:val="auto"/>
                <w:kern w:val="2"/>
                <w:szCs w:val="24"/>
                <w:lang w:eastAsia="zh-CN"/>
              </w:rPr>
              <w:t>”</w:t>
            </w:r>
            <w:r>
              <w:rPr>
                <w:rFonts w:hint="eastAsia" w:ascii="宋体" w:hAnsi="宋体" w:eastAsia="宋体" w:cs="Times New Roman"/>
                <w:bCs/>
                <w:color w:val="auto"/>
                <w:kern w:val="2"/>
                <w:szCs w:val="24"/>
                <w:lang w:val="en-US"/>
              </w:rPr>
              <w:t>网站</w:t>
            </w:r>
            <w:r>
              <w:rPr>
                <w:rFonts w:hint="eastAsia" w:ascii="宋体" w:hAnsi="宋体" w:eastAsia="宋体" w:cs="Times New Roman"/>
                <w:bCs/>
                <w:color w:val="auto"/>
                <w:kern w:val="2"/>
                <w:szCs w:val="24"/>
              </w:rPr>
              <w:t>，查看是</w:t>
            </w:r>
            <w:r>
              <w:rPr>
                <w:rFonts w:hint="eastAsia" w:ascii="宋体" w:hAnsi="宋体"/>
                <w:bCs/>
                <w:color w:val="auto"/>
                <w:kern w:val="2"/>
                <w:szCs w:val="24"/>
              </w:rPr>
              <w:t>否发布有关</w:t>
            </w:r>
            <w:r>
              <w:rPr>
                <w:rFonts w:hint="eastAsia" w:ascii="宋体" w:hAnsi="宋体"/>
                <w:bCs/>
                <w:color w:val="auto"/>
                <w:kern w:val="2"/>
                <w:szCs w:val="24"/>
                <w:lang w:val="en-US"/>
              </w:rPr>
              <w:t>该</w:t>
            </w:r>
            <w:r>
              <w:rPr>
                <w:rFonts w:hint="eastAsia" w:ascii="宋体" w:hAnsi="宋体"/>
                <w:bCs/>
                <w:color w:val="auto"/>
                <w:kern w:val="2"/>
                <w:szCs w:val="24"/>
              </w:rPr>
              <w:t>项目更正公告</w:t>
            </w:r>
            <w:r>
              <w:rPr>
                <w:rFonts w:hint="eastAsia" w:ascii="宋体" w:hAnsi="宋体"/>
                <w:bCs/>
                <w:color w:val="auto"/>
                <w:kern w:val="2"/>
                <w:szCs w:val="24"/>
                <w:lang w:val="en-US"/>
              </w:rPr>
              <w:t>或澄清</w:t>
            </w:r>
            <w:r>
              <w:rPr>
                <w:rFonts w:hint="eastAsia" w:ascii="宋体" w:hAnsi="宋体"/>
                <w:bCs/>
                <w:color w:val="auto"/>
                <w:kern w:val="2"/>
                <w:szCs w:val="24"/>
              </w:rPr>
              <w:t>。更正公告</w:t>
            </w:r>
            <w:r>
              <w:rPr>
                <w:rFonts w:hint="eastAsia" w:ascii="宋体" w:hAnsi="宋体"/>
                <w:bCs/>
                <w:color w:val="auto"/>
                <w:kern w:val="2"/>
                <w:szCs w:val="24"/>
                <w:lang w:val="en-US"/>
              </w:rPr>
              <w:t>或或澄清</w:t>
            </w:r>
            <w:r>
              <w:rPr>
                <w:rFonts w:hint="eastAsia" w:ascii="宋体" w:hAnsi="宋体"/>
                <w:bCs/>
                <w:color w:val="auto"/>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w:t>
            </w:r>
            <w:r>
              <w:rPr>
                <w:rFonts w:hint="eastAsia" w:ascii="宋体" w:hAnsi="宋体"/>
                <w:szCs w:val="24"/>
                <w:lang w:val="en-US" w:eastAsia="zh-CN"/>
              </w:rPr>
              <w:t>/</w:t>
            </w:r>
            <w:r>
              <w:rPr>
                <w:rFonts w:hint="eastAsia" w:ascii="宋体" w:hAnsi="宋体"/>
                <w:szCs w:val="24"/>
              </w:rPr>
              <w:t>副本需要分别装订</w:t>
            </w:r>
            <w:r>
              <w:rPr>
                <w:rFonts w:hint="eastAsia" w:ascii="宋体" w:hAnsi="宋体"/>
                <w:szCs w:val="24"/>
                <w:lang w:eastAsia="zh-CN"/>
              </w:rPr>
              <w:t>（胶装）</w:t>
            </w:r>
            <w:r>
              <w:rPr>
                <w:rFonts w:hint="eastAsia" w:ascii="宋体" w:hAnsi="宋体"/>
                <w:szCs w:val="24"/>
              </w:rPr>
              <w:t>。</w:t>
            </w:r>
          </w:p>
          <w:p>
            <w:pPr>
              <w:pStyle w:val="97"/>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szCs w:val="24"/>
              </w:rPr>
            </w:pPr>
            <w:r>
              <w:rPr>
                <w:rFonts w:hint="eastAsia" w:ascii="宋体" w:hAnsi="宋体"/>
                <w:szCs w:val="24"/>
                <w:lang w:val="en-US" w:eastAsia="zh-CN"/>
              </w:rPr>
              <w:t>2、</w:t>
            </w:r>
            <w:r>
              <w:rPr>
                <w:rFonts w:hint="eastAsia" w:ascii="宋体" w:hAnsi="宋体"/>
                <w:szCs w:val="24"/>
              </w:rPr>
              <w:t>如果响应文件没有按规定装订、分装、标记和密封，采购人和代理机构不承担提前开封的责任。</w:t>
            </w:r>
          </w:p>
          <w:p>
            <w:pPr>
              <w:pStyle w:val="97"/>
              <w:numPr>
                <w:ilvl w:val="0"/>
                <w:numId w:val="0"/>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eastAsia="zh-CN"/>
              </w:rPr>
              <w:t>3、</w:t>
            </w: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542"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2"/>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2"/>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7"/>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45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45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eastAsia="宋体" w:cs="Times New Roman"/>
                <w:bCs/>
                <w:kern w:val="2"/>
                <w:szCs w:val="24"/>
                <w:lang w:val="en-US" w:eastAsia="zh-CN"/>
              </w:rPr>
              <w:t>1</w:t>
            </w:r>
            <w:r>
              <w:rPr>
                <w:rFonts w:hint="eastAsia" w:ascii="宋体" w:hAnsi="宋体" w:eastAsia="宋体" w:cs="Times New Roman"/>
                <w:bCs/>
                <w:kern w:val="2"/>
                <w:szCs w:val="24"/>
                <w:lang w:val="en-US"/>
              </w:rPr>
              <w:t>、</w:t>
            </w:r>
            <w:r>
              <w:rPr>
                <w:rFonts w:hint="eastAsia" w:ascii="宋体" w:hAnsi="宋体" w:eastAsia="宋体" w:cs="Times New Roman"/>
                <w:bCs/>
                <w:kern w:val="2"/>
                <w:szCs w:val="24"/>
              </w:rPr>
              <w:t>违</w:t>
            </w:r>
            <w:r>
              <w:rPr>
                <w:rFonts w:hint="eastAsia" w:ascii="宋体" w:hAnsi="宋体"/>
                <w:bCs/>
                <w:kern w:val="2"/>
                <w:szCs w:val="24"/>
              </w:rPr>
              <w:t>约责任：若发现供应商属于出借资质或挂靠以及以各种理由推脱无法履约的（包含项目班子成员无法到岗、因工程质量问题无法验收以及工程延期等因素），采购人将供应商违约事实形成证据，除支付违约金外，发包人有权无条件终止合同，同时给予企业或项目班子成员记不良行为记录等处理。情节严重的将提请执法机关查处，直至追究刑事责任，并依法并向社会公开曝光。</w:t>
            </w:r>
          </w:p>
          <w:p>
            <w:pPr>
              <w:pStyle w:val="97"/>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lang w:val="en-US"/>
              </w:rPr>
            </w:pPr>
            <w:r>
              <w:rPr>
                <w:rFonts w:hint="eastAsia" w:ascii="宋体" w:hAnsi="宋体"/>
                <w:bCs/>
                <w:color w:val="auto"/>
                <w:kern w:val="2"/>
                <w:szCs w:val="24"/>
                <w:lang w:val="en-US" w:eastAsia="zh-CN"/>
              </w:rPr>
              <w:t>2、</w:t>
            </w:r>
            <w:r>
              <w:rPr>
                <w:rFonts w:hint="eastAsia" w:ascii="宋体" w:hAnsi="宋体"/>
                <w:bCs/>
                <w:color w:val="auto"/>
                <w:kern w:val="2"/>
                <w:szCs w:val="24"/>
                <w:lang w:val="en-US"/>
              </w:rPr>
              <w:t>在工程项目谈判过程中，</w:t>
            </w:r>
            <w:r>
              <w:rPr>
                <w:rFonts w:hint="eastAsia" w:ascii="宋体" w:hAnsi="宋体"/>
                <w:bCs/>
                <w:color w:val="auto"/>
                <w:kern w:val="2"/>
                <w:szCs w:val="24"/>
                <w:lang w:val="en-US" w:eastAsia="zh-CN"/>
              </w:rPr>
              <w:t>若</w:t>
            </w:r>
            <w:r>
              <w:rPr>
                <w:rFonts w:hint="eastAsia" w:ascii="宋体" w:hAnsi="宋体"/>
                <w:bCs/>
                <w:color w:val="auto"/>
                <w:kern w:val="2"/>
                <w:szCs w:val="24"/>
                <w:lang w:val="en-US"/>
              </w:rPr>
              <w:t>供应商最</w:t>
            </w:r>
            <w:r>
              <w:rPr>
                <w:rFonts w:hint="eastAsia" w:ascii="宋体" w:hAnsi="宋体"/>
                <w:bCs/>
                <w:color w:val="auto"/>
                <w:kern w:val="2"/>
                <w:szCs w:val="24"/>
                <w:lang w:val="en-US" w:eastAsia="zh-CN"/>
              </w:rPr>
              <w:t>终</w:t>
            </w:r>
            <w:r>
              <w:rPr>
                <w:rFonts w:hint="eastAsia" w:ascii="宋体" w:hAnsi="宋体"/>
                <w:bCs/>
                <w:color w:val="auto"/>
                <w:kern w:val="2"/>
                <w:szCs w:val="24"/>
                <w:lang w:val="en-US"/>
              </w:rPr>
              <w:t>报价与公布的最高投标限价（控制价）或项目概算相比降幅过小，或供应商最</w:t>
            </w:r>
            <w:r>
              <w:rPr>
                <w:rFonts w:hint="eastAsia" w:ascii="宋体" w:hAnsi="宋体"/>
                <w:bCs/>
                <w:color w:val="auto"/>
                <w:kern w:val="2"/>
                <w:szCs w:val="24"/>
                <w:lang w:val="en-US" w:eastAsia="zh-CN"/>
              </w:rPr>
              <w:t>终</w:t>
            </w:r>
            <w:r>
              <w:rPr>
                <w:rFonts w:hint="eastAsia" w:ascii="宋体" w:hAnsi="宋体"/>
                <w:bCs/>
                <w:color w:val="auto"/>
                <w:kern w:val="2"/>
                <w:szCs w:val="24"/>
                <w:lang w:val="en-US"/>
              </w:rPr>
              <w:t>报价明显缺乏竞争性的，谈判小组可以否决其报价。</w:t>
            </w:r>
          </w:p>
          <w:p>
            <w:pPr>
              <w:pStyle w:val="97"/>
              <w:pBdr>
                <w:bottom w:val="none" w:color="auto" w:sz="0" w:space="0"/>
              </w:pBdr>
              <w:tabs>
                <w:tab w:val="clear" w:pos="4153"/>
                <w:tab w:val="clear" w:pos="8306"/>
              </w:tabs>
              <w:adjustRightInd/>
              <w:spacing w:line="440" w:lineRule="exact"/>
              <w:jc w:val="both"/>
              <w:textAlignment w:val="auto"/>
              <w:rPr>
                <w:rFonts w:hint="eastAsia" w:ascii="宋体" w:hAnsi="宋体"/>
                <w:bCs/>
                <w:color w:val="FF0000"/>
                <w:kern w:val="2"/>
                <w:szCs w:val="24"/>
                <w:lang w:val="en-US"/>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、农民工工资保证金执行《关于印发《安徽省工程建设领域农民工工资保证金实施办法&gt;的通知(皖人社发[2022]8 号)》文规定，支持现金、保函等保证方式。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23</w:t>
            </w:r>
          </w:p>
        </w:tc>
        <w:tc>
          <w:tcPr>
            <w:tcW w:w="1458" w:type="dxa"/>
            <w:vAlign w:val="center"/>
          </w:tcPr>
          <w:p>
            <w:pPr>
              <w:pStyle w:val="97"/>
              <w:pBdr>
                <w:bottom w:val="none" w:color="auto" w:sz="0" w:space="0"/>
              </w:pBdr>
              <w:tabs>
                <w:tab w:val="clear" w:pos="4153"/>
                <w:tab w:val="clear" w:pos="8306"/>
              </w:tabs>
              <w:adjustRightInd/>
              <w:spacing w:line="440" w:lineRule="exact"/>
              <w:jc w:val="center"/>
              <w:textAlignment w:val="auto"/>
              <w:rPr>
                <w:rFonts w:hint="eastAsia" w:ascii="宋体" w:hAnsi="宋体" w:eastAsia="宋体"/>
                <w:bCs/>
                <w:kern w:val="2"/>
                <w:szCs w:val="24"/>
                <w:lang w:val="en-US" w:eastAsia="zh-CN"/>
              </w:rPr>
            </w:pPr>
            <w:r>
              <w:rPr>
                <w:rFonts w:hint="eastAsia" w:ascii="宋体" w:hAnsi="宋体"/>
                <w:bCs/>
                <w:kern w:val="2"/>
                <w:szCs w:val="24"/>
                <w:lang w:val="en-US" w:eastAsia="zh-CN"/>
              </w:rPr>
              <w:t>最高限价</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本项目最高限价为：柒万捌仟元整（￥78000.00元）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kern w:val="2"/>
                <w:szCs w:val="24"/>
                <w:lang w:val="en-US" w:eastAsia="zh-CN"/>
              </w:rPr>
            </w:pPr>
            <w:r>
              <w:rPr>
                <w:rFonts w:hint="eastAsia" w:ascii="宋体" w:hAnsi="宋体" w:cs="Times New Roman"/>
                <w:b/>
                <w:kern w:val="2"/>
                <w:szCs w:val="24"/>
                <w:lang w:val="en-US" w:eastAsia="zh-CN"/>
              </w:rPr>
              <w:t>24</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Cs w:val="24"/>
                <w:lang w:val="en-US" w:eastAsia="zh-CN"/>
              </w:rPr>
            </w:pPr>
            <w:r>
              <w:rPr>
                <w:rFonts w:hint="eastAsia" w:ascii="宋体" w:hAnsi="宋体" w:eastAsia="宋体" w:cs="Times New Roman"/>
                <w:b w:val="0"/>
                <w:bCs/>
                <w:kern w:val="2"/>
                <w:szCs w:val="24"/>
                <w:lang w:val="en-US" w:eastAsia="zh-CN"/>
              </w:rPr>
              <w:t>谈判文件解释权</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本谈判文件的解释权归采购人。</w:t>
            </w:r>
          </w:p>
        </w:tc>
      </w:tr>
    </w:tbl>
    <w:p>
      <w:pPr>
        <w:pStyle w:val="4"/>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430" w:lineRule="exact"/>
        <w:ind w:firstLine="241" w:firstLineChars="100"/>
        <w:jc w:val="center"/>
        <w:rPr>
          <w:rFonts w:ascii="宋体" w:hAnsi="宋体" w:eastAsia="宋体" w:cs="宋体"/>
          <w:sz w:val="24"/>
          <w:szCs w:val="24"/>
        </w:rPr>
      </w:pPr>
      <w:bookmarkStart w:id="60" w:name="_Toc7878"/>
      <w:r>
        <w:rPr>
          <w:rFonts w:hint="eastAsia" w:ascii="宋体" w:hAnsi="宋体" w:eastAsia="宋体" w:cs="宋体"/>
          <w:sz w:val="24"/>
          <w:szCs w:val="24"/>
        </w:rPr>
        <w:t>（二）供应商资格</w:t>
      </w:r>
      <w:bookmarkEnd w:id="60"/>
    </w:p>
    <w:bookmarkEnd w:id="57"/>
    <w:p>
      <w:pPr>
        <w:pStyle w:val="33"/>
        <w:spacing w:after="0" w:line="430" w:lineRule="exact"/>
        <w:ind w:firstLine="480" w:firstLineChars="200"/>
        <w:jc w:val="center"/>
      </w:pPr>
      <w:bookmarkStart w:id="61" w:name="_Toc216158625"/>
      <w:bookmarkStart w:id="62" w:name="_Toc438648662"/>
      <w:bookmarkStart w:id="63" w:name="_Toc363199266"/>
      <w:r>
        <w:rPr>
          <w:rFonts w:hint="eastAsia"/>
        </w:rPr>
        <w:t>见本项目采购公告</w:t>
      </w:r>
    </w:p>
    <w:p>
      <w:pPr>
        <w:pStyle w:val="4"/>
        <w:spacing w:before="0" w:after="0" w:line="430" w:lineRule="exact"/>
        <w:jc w:val="center"/>
        <w:rPr>
          <w:rFonts w:ascii="宋体" w:hAnsi="宋体" w:eastAsia="宋体" w:cs="宋体"/>
          <w:sz w:val="24"/>
          <w:szCs w:val="24"/>
        </w:rPr>
      </w:pPr>
      <w:bookmarkStart w:id="64" w:name="_Toc27352"/>
      <w:r>
        <w:rPr>
          <w:rFonts w:hint="eastAsia" w:ascii="宋体" w:hAnsi="宋体" w:eastAsia="宋体" w:cs="宋体"/>
          <w:sz w:val="24"/>
          <w:szCs w:val="24"/>
        </w:rPr>
        <w:t>（三）供应商必须提交的响应文件内容</w:t>
      </w:r>
      <w:bookmarkEnd w:id="61"/>
      <w:bookmarkEnd w:id="62"/>
      <w:bookmarkEnd w:id="63"/>
      <w:bookmarkEnd w:id="64"/>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4"/>
        <w:spacing w:before="0" w:after="0" w:line="430" w:lineRule="exact"/>
        <w:jc w:val="center"/>
        <w:rPr>
          <w:rFonts w:ascii="宋体" w:hAnsi="宋体" w:eastAsia="宋体" w:cs="宋体"/>
          <w:sz w:val="24"/>
          <w:szCs w:val="24"/>
        </w:rPr>
      </w:pPr>
      <w:bookmarkStart w:id="65" w:name="_Toc21125"/>
      <w:r>
        <w:rPr>
          <w:rFonts w:hint="eastAsia" w:ascii="宋体" w:hAnsi="宋体" w:eastAsia="宋体" w:cs="宋体"/>
          <w:sz w:val="24"/>
          <w:szCs w:val="24"/>
        </w:rPr>
        <w:t>（四）响应文件的提交</w:t>
      </w:r>
      <w:bookmarkEnd w:id="65"/>
    </w:p>
    <w:p>
      <w:pPr>
        <w:spacing w:line="430" w:lineRule="exact"/>
        <w:ind w:firstLine="480" w:firstLineChars="200"/>
        <w:rPr>
          <w:rFonts w:ascii="宋体" w:hAnsi="宋体"/>
          <w:sz w:val="24"/>
          <w:szCs w:val="24"/>
        </w:rPr>
      </w:pPr>
      <w:bookmarkStart w:id="66"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6"/>
    </w:p>
    <w:p>
      <w:pPr>
        <w:tabs>
          <w:tab w:val="left" w:pos="900"/>
        </w:tabs>
        <w:spacing w:line="430" w:lineRule="exact"/>
        <w:ind w:firstLine="480" w:firstLineChars="200"/>
        <w:rPr>
          <w:rFonts w:ascii="宋体" w:hAnsi="宋体"/>
          <w:sz w:val="24"/>
          <w:szCs w:val="24"/>
        </w:rPr>
      </w:pPr>
      <w:bookmarkStart w:id="67"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w:t>
      </w:r>
      <w:r>
        <w:rPr>
          <w:rFonts w:hint="eastAsia" w:ascii="宋体" w:hAnsi="宋体"/>
          <w:sz w:val="24"/>
          <w:szCs w:val="24"/>
          <w:lang w:val="en-US" w:eastAsia="zh-CN"/>
        </w:rPr>
        <w:t>负责人</w:t>
      </w:r>
      <w:r>
        <w:rPr>
          <w:rFonts w:hint="eastAsia" w:ascii="宋体" w:hAnsi="宋体"/>
          <w:sz w:val="24"/>
          <w:szCs w:val="24"/>
        </w:rPr>
        <w:t>资格符合采购文件规定；（</w:t>
      </w:r>
      <w:r>
        <w:rPr>
          <w:rFonts w:hint="eastAsia" w:ascii="宋体" w:hAnsi="宋体"/>
          <w:sz w:val="24"/>
          <w:szCs w:val="24"/>
          <w:lang w:val="en-US" w:eastAsia="zh-CN"/>
        </w:rPr>
        <w:t>4</w:t>
      </w:r>
      <w:r>
        <w:rPr>
          <w:rFonts w:hint="eastAsia" w:ascii="宋体" w:hAnsi="宋体"/>
          <w:sz w:val="24"/>
          <w:szCs w:val="24"/>
        </w:rPr>
        <w:t>）其他要求均符合采购文件规定。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widowControl w:val="0"/>
        <w:tabs>
          <w:tab w:val="left" w:pos="900"/>
        </w:tabs>
        <w:kinsoku/>
        <w:wordWrap/>
        <w:overflowPunct/>
        <w:topLinePunct w:val="0"/>
        <w:autoSpaceDE/>
        <w:autoSpaceDN/>
        <w:bidi w:val="0"/>
        <w:adjustRightInd/>
        <w:snapToGrid/>
        <w:spacing w:line="430" w:lineRule="exact"/>
        <w:ind w:firstLine="480" w:firstLineChars="200"/>
        <w:textAlignment w:val="auto"/>
        <w:rPr>
          <w:rFonts w:hint="eastAsia" w:ascii="宋体" w:hAnsi="宋体"/>
          <w:b/>
          <w:bCs/>
          <w:sz w:val="24"/>
          <w:szCs w:val="24"/>
        </w:rPr>
      </w:pPr>
      <w:r>
        <w:rPr>
          <w:rFonts w:hint="eastAsia" w:ascii="宋体" w:hAnsi="宋体"/>
          <w:sz w:val="24"/>
          <w:szCs w:val="24"/>
        </w:rPr>
        <w:t>6、</w:t>
      </w:r>
      <w:r>
        <w:rPr>
          <w:rFonts w:hint="eastAsia" w:ascii="宋体" w:hAnsi="宋体"/>
          <w:color w:val="auto"/>
          <w:sz w:val="24"/>
          <w:szCs w:val="24"/>
        </w:rPr>
        <w:t>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若供应商未在谈判小组规定的时间内提交最</w:t>
      </w:r>
      <w:r>
        <w:rPr>
          <w:rFonts w:hint="eastAsia" w:ascii="宋体" w:hAnsi="宋体"/>
          <w:b/>
          <w:bCs/>
          <w:sz w:val="24"/>
          <w:szCs w:val="24"/>
          <w:lang w:eastAsia="zh-CN"/>
        </w:rPr>
        <w:t>终</w:t>
      </w:r>
      <w:r>
        <w:rPr>
          <w:rFonts w:hint="eastAsia" w:ascii="宋体" w:hAnsi="宋体"/>
          <w:b/>
          <w:bCs/>
          <w:sz w:val="24"/>
          <w:szCs w:val="24"/>
        </w:rPr>
        <w:t>报价，则其前一轮报价即为该供应商最</w:t>
      </w:r>
      <w:r>
        <w:rPr>
          <w:rFonts w:hint="eastAsia" w:ascii="宋体" w:hAnsi="宋体"/>
          <w:b/>
          <w:bCs/>
          <w:sz w:val="24"/>
          <w:szCs w:val="24"/>
          <w:lang w:eastAsia="zh-CN"/>
        </w:rPr>
        <w:t>终</w:t>
      </w:r>
      <w:r>
        <w:rPr>
          <w:rFonts w:hint="eastAsia" w:ascii="宋体" w:hAnsi="宋体"/>
          <w:b/>
          <w:bCs/>
          <w:sz w:val="24"/>
          <w:szCs w:val="24"/>
        </w:rPr>
        <w:t>报价（后一轮报价不得高于前一轮报价，否则，报价无效）。</w:t>
      </w:r>
    </w:p>
    <w:p>
      <w:pPr>
        <w:keepNext w:val="0"/>
        <w:keepLines w:val="0"/>
        <w:pageBreakBefore w:val="0"/>
        <w:widowControl w:val="0"/>
        <w:tabs>
          <w:tab w:val="left" w:pos="900"/>
        </w:tabs>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谈判小组按以下步骤对各供应商最终报价依序进行评审：</w:t>
      </w:r>
    </w:p>
    <w:p>
      <w:pPr>
        <w:pStyle w:val="2"/>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第一步，认定有效报价。各供应商的所有报价不得超过最高限价，且最终报价不得高上一轮报价，否则报价无效；</w:t>
      </w:r>
    </w:p>
    <w:p>
      <w:pPr>
        <w:pStyle w:val="2"/>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lang w:val="en-US" w:eastAsia="zh-CN"/>
        </w:rPr>
        <w:t>第二步，认定低于成本价的投标报价。供应商最终报价是否低于成本价，按如下规则进行判定：供应商最终报价提交完毕后，凡供应商最终报价低于所有有效的供应商最终报价算术平均数与</w:t>
      </w:r>
      <w:r>
        <w:rPr>
          <w:rFonts w:hint="eastAsia" w:ascii="宋体" w:hAnsi="宋体" w:cs="宋体"/>
          <w:b/>
          <w:bCs/>
          <w:color w:val="auto"/>
          <w:sz w:val="24"/>
          <w:szCs w:val="24"/>
          <w:lang w:val="en-US" w:eastAsia="zh-CN"/>
        </w:rPr>
        <w:t>95%</w:t>
      </w:r>
      <w:r>
        <w:rPr>
          <w:rFonts w:hint="eastAsia" w:ascii="宋体" w:hAnsi="宋体" w:eastAsia="宋体" w:cs="宋体"/>
          <w:b/>
          <w:bCs/>
          <w:color w:val="auto"/>
          <w:sz w:val="24"/>
          <w:szCs w:val="24"/>
          <w:lang w:val="en-US" w:eastAsia="zh-CN"/>
        </w:rPr>
        <w:t>的乘积的</w:t>
      </w:r>
      <w:r>
        <w:rPr>
          <w:rFonts w:hint="eastAsia" w:ascii="宋体" w:hAnsi="宋体" w:cs="宋体"/>
          <w:b/>
          <w:bCs/>
          <w:color w:val="auto"/>
          <w:sz w:val="24"/>
          <w:szCs w:val="24"/>
          <w:lang w:val="en-US" w:eastAsia="zh-CN"/>
        </w:rPr>
        <w:t>（计算结果保留两位小数）</w:t>
      </w:r>
      <w:r>
        <w:rPr>
          <w:rFonts w:hint="eastAsia" w:ascii="宋体" w:hAnsi="宋体" w:eastAsia="宋体" w:cs="宋体"/>
          <w:b/>
          <w:bCs/>
          <w:color w:val="auto"/>
          <w:sz w:val="24"/>
          <w:szCs w:val="24"/>
          <w:lang w:val="en-US" w:eastAsia="zh-CN"/>
        </w:rPr>
        <w:t>，均按低于成本价判定，该供应商报价按无效报价处理，不再进行后续评审，不得被推荐为成交供应商。</w:t>
      </w:r>
    </w:p>
    <w:p>
      <w:pPr>
        <w:pStyle w:val="2"/>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第</w:t>
      </w:r>
      <w:r>
        <w:rPr>
          <w:rFonts w:hint="eastAsia" w:ascii="宋体" w:hAnsi="宋体" w:cs="宋体"/>
          <w:b/>
          <w:bCs/>
          <w:color w:val="auto"/>
          <w:sz w:val="24"/>
          <w:szCs w:val="24"/>
          <w:u w:val="none"/>
          <w:lang w:val="en-US" w:eastAsia="zh-CN"/>
        </w:rPr>
        <w:t>三</w:t>
      </w:r>
      <w:r>
        <w:rPr>
          <w:rFonts w:hint="eastAsia" w:ascii="宋体" w:hAnsi="宋体" w:eastAsia="宋体" w:cs="宋体"/>
          <w:b/>
          <w:bCs/>
          <w:color w:val="auto"/>
          <w:sz w:val="24"/>
          <w:szCs w:val="24"/>
          <w:u w:val="none"/>
          <w:lang w:val="en-US" w:eastAsia="zh-CN"/>
        </w:rPr>
        <w:t>步，特殊情况处理。若上述评审均合格的前三名供应商中，排序第一的（即：最终报价最低的）供应商有两家或两家以上时，则由采购人按照公开、公平、公正的原则，于开标当天在开标现场在监督人员监督下公开确定成交供应商。具体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7"/>
    </w:p>
    <w:bookmarkEnd w:id="58"/>
    <w:bookmarkEnd w:id="59"/>
    <w:p>
      <w:pPr>
        <w:spacing w:line="430" w:lineRule="exact"/>
        <w:ind w:firstLine="480" w:firstLineChars="200"/>
        <w:rPr>
          <w:rFonts w:ascii="宋体" w:hAnsi="宋体" w:cs="Arial"/>
          <w:sz w:val="24"/>
          <w:szCs w:val="24"/>
        </w:rPr>
      </w:pPr>
      <w:bookmarkStart w:id="68"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w:t>
      </w:r>
      <w:r>
        <w:rPr>
          <w:rFonts w:hint="eastAsia" w:ascii="宋体" w:hAnsi="宋体" w:cs="Arial"/>
          <w:sz w:val="24"/>
          <w:szCs w:val="24"/>
          <w:lang w:eastAsia="zh-CN"/>
        </w:rPr>
        <w:t>有效</w:t>
      </w:r>
      <w:r>
        <w:rPr>
          <w:rFonts w:hint="eastAsia" w:ascii="宋体" w:hAnsi="宋体" w:cs="Arial"/>
          <w:sz w:val="24"/>
          <w:szCs w:val="24"/>
        </w:rPr>
        <w:t>报价最低的原则推荐出成交供应商。</w:t>
      </w:r>
    </w:p>
    <w:p>
      <w:pPr>
        <w:spacing w:line="430" w:lineRule="exact"/>
        <w:ind w:firstLine="480" w:firstLineChars="200"/>
        <w:rPr>
          <w:rFonts w:hint="eastAsia" w:ascii="宋体" w:hAnsi="宋体"/>
          <w:sz w:val="24"/>
          <w:szCs w:val="24"/>
        </w:rPr>
      </w:pPr>
      <w:r>
        <w:rPr>
          <w:rFonts w:hint="eastAsia" w:ascii="宋体" w:hAnsi="宋体"/>
          <w:sz w:val="24"/>
          <w:szCs w:val="24"/>
        </w:rPr>
        <w:t>备注：提交</w:t>
      </w:r>
      <w:r>
        <w:rPr>
          <w:rFonts w:hint="eastAsia" w:ascii="宋体" w:hAnsi="宋体"/>
          <w:sz w:val="24"/>
          <w:szCs w:val="24"/>
          <w:lang w:eastAsia="zh-CN"/>
        </w:rPr>
        <w:t>谈判</w:t>
      </w:r>
      <w:r>
        <w:rPr>
          <w:rFonts w:hint="eastAsia" w:ascii="宋体" w:hAnsi="宋体"/>
          <w:sz w:val="24"/>
          <w:szCs w:val="24"/>
        </w:rPr>
        <w:t>文件的供应商少于三个的，采购人将依法重新</w:t>
      </w:r>
      <w:r>
        <w:rPr>
          <w:rFonts w:hint="eastAsia" w:ascii="宋体" w:hAnsi="宋体"/>
          <w:sz w:val="24"/>
          <w:szCs w:val="24"/>
          <w:lang w:eastAsia="zh-CN"/>
        </w:rPr>
        <w:t>谈判</w:t>
      </w:r>
      <w:r>
        <w:rPr>
          <w:rFonts w:hint="eastAsia" w:ascii="宋体" w:hAnsi="宋体"/>
          <w:sz w:val="24"/>
          <w:szCs w:val="24"/>
        </w:rPr>
        <w:t>或按相关文件执行。公开招标限额以下招标采购项目，</w:t>
      </w:r>
      <w:r>
        <w:rPr>
          <w:rFonts w:hint="eastAsia" w:ascii="宋体" w:hAnsi="宋体"/>
          <w:sz w:val="24"/>
          <w:szCs w:val="24"/>
          <w:lang w:eastAsia="zh-CN"/>
        </w:rPr>
        <w:t>谈判</w:t>
      </w:r>
      <w:r>
        <w:rPr>
          <w:rFonts w:hint="eastAsia" w:ascii="宋体" w:hAnsi="宋体"/>
          <w:sz w:val="24"/>
          <w:szCs w:val="24"/>
        </w:rPr>
        <w:t>文件没有不合理条款的，凡经公开挂网后，有三家及以上供应商的，正常开标；只有两家供应商的，现场继续</w:t>
      </w:r>
      <w:r>
        <w:rPr>
          <w:rFonts w:hint="eastAsia" w:ascii="宋体" w:hAnsi="宋体"/>
          <w:sz w:val="24"/>
          <w:szCs w:val="24"/>
          <w:lang w:eastAsia="zh-CN"/>
        </w:rPr>
        <w:t>谈判</w:t>
      </w:r>
      <w:r>
        <w:rPr>
          <w:rFonts w:hint="eastAsia" w:ascii="宋体" w:hAnsi="宋体"/>
          <w:sz w:val="24"/>
          <w:szCs w:val="24"/>
        </w:rPr>
        <w:t>；仅有一家供应商的，直接转为单一来源直接采购。</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hint="default" w:eastAsia="宋体"/>
          <w:lang w:val="en-US" w:eastAsia="zh-CN"/>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w:t>
      </w:r>
      <w:r>
        <w:rPr>
          <w:rFonts w:hint="eastAsia" w:ascii="宋体" w:hAnsi="宋体"/>
          <w:sz w:val="24"/>
          <w:szCs w:val="24"/>
        </w:rPr>
        <w:t>进行公告。</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8"/>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发包文件，了解拟投标项目的全部工程内容。供应商的响应报价应是发包文件所确定的发包范围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sz w:val="24"/>
          <w:szCs w:val="24"/>
        </w:rPr>
      </w:pPr>
      <w:bookmarkStart w:id="69" w:name="_Toc8394"/>
      <w:r>
        <w:rPr>
          <w:rFonts w:hint="eastAsia" w:ascii="宋体" w:hAnsi="宋体" w:eastAsia="宋体" w:cs="宋体"/>
          <w:sz w:val="24"/>
          <w:szCs w:val="24"/>
        </w:rPr>
        <w:t>（八）合同的签订</w:t>
      </w:r>
      <w:bookmarkEnd w:id="69"/>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rPr>
        <w:t>7个工作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r>
        <w:rPr>
          <w:rFonts w:hint="eastAsia" w:ascii="宋体" w:hAnsi="宋体"/>
          <w:sz w:val="24"/>
          <w:szCs w:val="24"/>
        </w:rPr>
        <w:t>（合同价格形式为固定单价，如有变更，变更严格按照霍山县相关文件执行，否则变更部分工程不列入工程决算）</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0" w:after="0" w:line="430" w:lineRule="exact"/>
        <w:jc w:val="center"/>
        <w:rPr>
          <w:rFonts w:ascii="宋体" w:hAnsi="宋体" w:eastAsia="宋体" w:cs="宋体"/>
          <w:sz w:val="24"/>
          <w:szCs w:val="24"/>
        </w:rPr>
      </w:pPr>
      <w:bookmarkStart w:id="70" w:name="_Toc30371"/>
      <w:r>
        <w:rPr>
          <w:rFonts w:hint="eastAsia" w:ascii="宋体" w:hAnsi="宋体" w:eastAsia="宋体" w:cs="宋体"/>
          <w:sz w:val="24"/>
          <w:szCs w:val="24"/>
        </w:rPr>
        <w:t>（九）澄清及变更</w:t>
      </w:r>
      <w:bookmarkEnd w:id="70"/>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4"/>
        <w:spacing w:before="0" w:after="0" w:line="430" w:lineRule="exact"/>
        <w:jc w:val="center"/>
        <w:rPr>
          <w:rFonts w:ascii="宋体" w:hAnsi="宋体" w:eastAsia="宋体" w:cs="宋体"/>
          <w:sz w:val="24"/>
          <w:szCs w:val="24"/>
        </w:rPr>
      </w:pPr>
      <w:bookmarkStart w:id="71" w:name="_Toc14936"/>
      <w:r>
        <w:rPr>
          <w:rFonts w:hint="eastAsia" w:ascii="宋体" w:hAnsi="宋体" w:eastAsia="宋体" w:cs="宋体"/>
          <w:sz w:val="24"/>
          <w:szCs w:val="24"/>
        </w:rPr>
        <w:t>（十）验收</w:t>
      </w:r>
      <w:bookmarkEnd w:id="71"/>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2"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2"/>
    </w:p>
    <w:p>
      <w:pPr>
        <w:spacing w:line="430" w:lineRule="exact"/>
        <w:ind w:firstLine="480" w:firstLineChars="200"/>
        <w:rPr>
          <w:rFonts w:ascii="宋体" w:hAnsi="宋体"/>
          <w:bCs/>
          <w:sz w:val="24"/>
        </w:rPr>
      </w:pPr>
      <w:bookmarkStart w:id="73"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4"/>
        <w:spacing w:before="0" w:after="0" w:line="560" w:lineRule="exact"/>
        <w:jc w:val="center"/>
        <w:rPr>
          <w:rFonts w:hint="eastAsia" w:ascii="宋体" w:hAnsi="宋体" w:eastAsia="宋体" w:cs="宋体"/>
          <w:sz w:val="28"/>
          <w:szCs w:val="28"/>
        </w:rPr>
      </w:pPr>
      <w:bookmarkStart w:id="74" w:name="_Toc5573"/>
    </w:p>
    <w:p>
      <w:pPr>
        <w:jc w:val="center"/>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二、采购合同</w:t>
      </w:r>
      <w:bookmarkEnd w:id="74"/>
    </w:p>
    <w:bookmarkEnd w:id="73"/>
    <w:p>
      <w:pPr>
        <w:pStyle w:val="2"/>
        <w:jc w:val="center"/>
        <w:rPr>
          <w:rFonts w:hint="eastAsia" w:eastAsia="宋体"/>
          <w:lang w:eastAsia="zh-CN"/>
        </w:rPr>
      </w:pPr>
      <w:bookmarkStart w:id="75" w:name="_Toc18672"/>
      <w:bookmarkStart w:id="76"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4"/>
        <w:numPr>
          <w:ilvl w:val="0"/>
          <w:numId w:val="2"/>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5"/>
    </w:p>
    <w:p>
      <w:pPr>
        <w:pStyle w:val="11"/>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4"/>
        <w:spacing w:before="0" w:after="0" w:line="560" w:lineRule="exact"/>
        <w:jc w:val="center"/>
        <w:rPr>
          <w:rFonts w:ascii="宋体" w:hAnsi="宋体" w:eastAsia="宋体" w:cs="宋体"/>
          <w:sz w:val="28"/>
          <w:szCs w:val="28"/>
        </w:rPr>
      </w:pPr>
      <w:bookmarkStart w:id="77" w:name="_Toc12600"/>
      <w:r>
        <w:rPr>
          <w:rFonts w:hint="eastAsia" w:ascii="宋体" w:hAnsi="宋体" w:eastAsia="宋体" w:cs="宋体"/>
          <w:sz w:val="28"/>
          <w:szCs w:val="28"/>
        </w:rPr>
        <w:t>四、响应文件格式</w:t>
      </w:r>
      <w:bookmarkEnd w:id="77"/>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hint="eastAsia" w:ascii="宋体" w:hAnsi="宋体" w:eastAsia="宋体"/>
          <w:b/>
          <w:sz w:val="30"/>
          <w:szCs w:val="30"/>
          <w:lang w:eastAsia="zh-CN"/>
        </w:rPr>
      </w:pPr>
      <w:r>
        <w:rPr>
          <w:rFonts w:hint="eastAsia" w:ascii="宋体" w:hAnsi="宋体"/>
          <w:b/>
          <w:sz w:val="30"/>
          <w:szCs w:val="30"/>
          <w:lang w:eastAsia="zh-CN"/>
        </w:rPr>
        <w:t>项目编号：</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6"/>
    <w:p>
      <w:pPr>
        <w:pStyle w:val="4"/>
        <w:spacing w:before="0" w:after="0" w:line="560" w:lineRule="exact"/>
        <w:jc w:val="center"/>
        <w:rPr>
          <w:rFonts w:ascii="宋体" w:hAnsi="宋体" w:eastAsia="宋体" w:cs="宋体"/>
          <w:sz w:val="24"/>
          <w:szCs w:val="24"/>
        </w:rPr>
      </w:pPr>
      <w:bookmarkStart w:id="78" w:name="_Toc3949"/>
      <w:r>
        <w:rPr>
          <w:rFonts w:hint="eastAsia" w:ascii="宋体" w:hAnsi="宋体" w:eastAsia="宋体" w:cs="宋体"/>
          <w:sz w:val="24"/>
          <w:szCs w:val="24"/>
        </w:rPr>
        <w:t>响应文件资料清单</w:t>
      </w:r>
      <w:bookmarkEnd w:id="78"/>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2"/>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2"/>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val="en-US" w:eastAsia="zh-CN"/>
              </w:rPr>
              <w:t>七</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val="en-US" w:eastAsia="zh-CN"/>
              </w:rPr>
              <w:t>八</w:t>
            </w:r>
          </w:p>
        </w:tc>
        <w:tc>
          <w:tcPr>
            <w:tcW w:w="6038" w:type="dxa"/>
            <w:vAlign w:val="center"/>
          </w:tcPr>
          <w:p>
            <w:pPr>
              <w:rPr>
                <w:rFonts w:hint="eastAsia" w:ascii="宋体" w:hAnsi="宋体" w:eastAsia="宋体" w:cs="宋体"/>
                <w:sz w:val="24"/>
                <w:lang w:val="en-US" w:eastAsia="zh-CN"/>
              </w:rPr>
            </w:pPr>
            <w:r>
              <w:rPr>
                <w:rFonts w:hint="eastAsia" w:ascii="宋体" w:hAnsi="宋体" w:cs="宋体"/>
                <w:sz w:val="24"/>
                <w:szCs w:val="24"/>
              </w:rPr>
              <w:t>最终报价</w:t>
            </w:r>
            <w:r>
              <w:rPr>
                <w:rFonts w:hint="eastAsia" w:ascii="宋体" w:hAnsi="宋体" w:cs="宋体"/>
                <w:sz w:val="24"/>
                <w:szCs w:val="24"/>
                <w:lang w:val="en-US" w:eastAsia="zh-CN"/>
              </w:rPr>
              <w:t>书</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560" w:lineRule="exact"/>
        <w:rPr>
          <w:rFonts w:ascii="宋体" w:hAnsi="宋体" w:eastAsia="宋体" w:cs="宋体"/>
          <w:sz w:val="24"/>
          <w:szCs w:val="24"/>
        </w:rPr>
      </w:pPr>
      <w:bookmarkStart w:id="79" w:name="_Toc970"/>
      <w:r>
        <w:rPr>
          <w:rFonts w:hint="eastAsia" w:ascii="宋体" w:hAnsi="宋体" w:eastAsia="宋体" w:cs="宋体"/>
          <w:sz w:val="24"/>
          <w:szCs w:val="24"/>
        </w:rPr>
        <w:t>附件一</w:t>
      </w:r>
      <w:bookmarkEnd w:id="79"/>
    </w:p>
    <w:p>
      <w:pPr>
        <w:pStyle w:val="4"/>
        <w:spacing w:before="0" w:after="0" w:line="560" w:lineRule="exact"/>
        <w:ind w:firstLine="482" w:firstLineChars="200"/>
        <w:jc w:val="center"/>
        <w:rPr>
          <w:rFonts w:ascii="宋体" w:hAnsi="宋体" w:eastAsia="宋体" w:cs="宋体"/>
          <w:sz w:val="24"/>
          <w:szCs w:val="24"/>
        </w:rPr>
      </w:pPr>
      <w:bookmarkStart w:id="80" w:name="_Toc5601"/>
      <w:bookmarkStart w:id="81" w:name="_Toc10816"/>
      <w:bookmarkStart w:id="82" w:name="_Toc6891"/>
      <w:r>
        <w:rPr>
          <w:rFonts w:hint="eastAsia" w:ascii="宋体" w:hAnsi="宋体" w:eastAsia="宋体" w:cs="宋体"/>
          <w:sz w:val="24"/>
          <w:szCs w:val="24"/>
        </w:rPr>
        <w:t>1、报价单</w:t>
      </w:r>
      <w:bookmarkEnd w:id="80"/>
      <w:bookmarkEnd w:id="8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r>
              <w:rPr>
                <w:rFonts w:hint="eastAsia" w:ascii="宋体" w:hAnsi="宋体" w:cs="宋体"/>
                <w:sz w:val="24"/>
                <w:szCs w:val="24"/>
                <w:highlight w:val="none"/>
                <w:lang w:val="en-US" w:eastAsia="zh-CN"/>
              </w:rPr>
              <w:t>小写：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（精确到小数点后两位，可编辑）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r>
              <w:rPr>
                <w:rFonts w:hint="eastAsia"/>
                <w:highlight w:val="none"/>
                <w:lang w:val="en-US" w:eastAsia="zh-CN"/>
              </w:rPr>
              <w:t>如大小写不一致，以大写为准</w:t>
            </w: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4"/>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33"/>
        <w:spacing w:line="520" w:lineRule="exact"/>
        <w:ind w:firstLine="480" w:firstLineChars="200"/>
        <w:rPr>
          <w:rFonts w:ascii="宋体" w:hAnsi="宋体"/>
          <w:bCs/>
          <w:szCs w:val="24"/>
        </w:rPr>
      </w:pPr>
    </w:p>
    <w:p>
      <w:pPr>
        <w:pStyle w:val="25"/>
        <w:rPr>
          <w:rFonts w:ascii="宋体" w:hAnsi="宋体"/>
          <w:bCs/>
          <w:szCs w:val="24"/>
        </w:rPr>
      </w:pPr>
    </w:p>
    <w:p/>
    <w:p>
      <w:pPr>
        <w:pStyle w:val="4"/>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2"/>
    </w:p>
    <w:p>
      <w:pPr>
        <w:pStyle w:val="4"/>
        <w:spacing w:before="0" w:after="0" w:line="560" w:lineRule="exact"/>
        <w:jc w:val="center"/>
        <w:rPr>
          <w:rFonts w:ascii="宋体" w:hAnsi="宋体" w:eastAsia="宋体" w:cs="宋体"/>
          <w:sz w:val="24"/>
          <w:szCs w:val="24"/>
        </w:rPr>
      </w:pPr>
      <w:bookmarkStart w:id="83" w:name="_Toc17280"/>
      <w:bookmarkStart w:id="84" w:name="_Toc31020"/>
      <w:r>
        <w:rPr>
          <w:rFonts w:hint="eastAsia" w:ascii="宋体" w:hAnsi="宋体" w:eastAsia="宋体" w:cs="宋体"/>
          <w:sz w:val="24"/>
          <w:szCs w:val="24"/>
        </w:rPr>
        <w:t>供应商基本信息</w:t>
      </w:r>
      <w:bookmarkEnd w:id="83"/>
      <w:bookmarkEnd w:id="84"/>
    </w:p>
    <w:p>
      <w:pPr>
        <w:pStyle w:val="33"/>
        <w:spacing w:line="520" w:lineRule="exact"/>
        <w:ind w:firstLine="480" w:firstLineChars="200"/>
        <w:rPr>
          <w:rFonts w:ascii="宋体" w:hAnsi="宋体"/>
          <w:szCs w:val="24"/>
        </w:rPr>
      </w:pPr>
      <w:r>
        <w:rPr>
          <w:rFonts w:hint="eastAsia" w:ascii="宋体" w:hAnsi="宋体"/>
          <w:szCs w:val="24"/>
        </w:rPr>
        <w:t>后附营业执照、资质证书、项目</w:t>
      </w:r>
      <w:r>
        <w:rPr>
          <w:rFonts w:hint="eastAsia" w:ascii="宋体" w:hAnsi="宋体"/>
          <w:szCs w:val="24"/>
          <w:lang w:val="en-US" w:eastAsia="zh-CN"/>
        </w:rPr>
        <w:t>负责人</w:t>
      </w:r>
      <w:r>
        <w:rPr>
          <w:rFonts w:hint="eastAsia" w:ascii="宋体" w:hAnsi="宋体"/>
          <w:szCs w:val="24"/>
        </w:rPr>
        <w:t>证书、、社保证明材料等资料原件复印件或打印件。</w:t>
      </w:r>
    </w:p>
    <w:p>
      <w:pPr>
        <w:spacing w:line="360" w:lineRule="auto"/>
        <w:jc w:val="center"/>
      </w:pPr>
    </w:p>
    <w:p>
      <w:pPr>
        <w:pStyle w:val="4"/>
        <w:wordWrap w:val="0"/>
        <w:spacing w:before="0" w:after="0" w:line="560" w:lineRule="exact"/>
        <w:rPr>
          <w:rFonts w:ascii="宋体" w:hAnsi="宋体" w:eastAsia="宋体" w:cs="宋体"/>
          <w:sz w:val="24"/>
          <w:szCs w:val="24"/>
        </w:rPr>
      </w:pPr>
      <w:bookmarkStart w:id="85" w:name="_Toc30812"/>
      <w:r>
        <w:rPr>
          <w:rFonts w:hint="eastAsia" w:ascii="宋体" w:hAnsi="宋体" w:eastAsia="宋体" w:cs="宋体"/>
          <w:sz w:val="24"/>
          <w:szCs w:val="24"/>
        </w:rPr>
        <w:t>附件三</w:t>
      </w:r>
      <w:bookmarkEnd w:id="85"/>
    </w:p>
    <w:p>
      <w:pPr>
        <w:pStyle w:val="4"/>
        <w:spacing w:before="0" w:after="0" w:line="560" w:lineRule="exact"/>
        <w:jc w:val="center"/>
        <w:rPr>
          <w:rFonts w:ascii="宋体" w:hAnsi="宋体" w:eastAsia="宋体" w:cs="宋体"/>
          <w:sz w:val="24"/>
          <w:szCs w:val="24"/>
        </w:rPr>
      </w:pPr>
      <w:bookmarkStart w:id="86" w:name="_Toc3234"/>
      <w:bookmarkStart w:id="87" w:name="_Toc10696"/>
      <w:r>
        <w:rPr>
          <w:rFonts w:hint="eastAsia" w:ascii="宋体" w:hAnsi="宋体" w:eastAsia="宋体" w:cs="宋体"/>
          <w:sz w:val="24"/>
          <w:szCs w:val="24"/>
        </w:rPr>
        <w:t>谈判授权书</w:t>
      </w:r>
      <w:bookmarkEnd w:id="86"/>
      <w:bookmarkEnd w:id="87"/>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8"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6"/>
        <w:rPr>
          <w:rFonts w:hAnsi="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8"/>
    </w:p>
    <w:p>
      <w:pPr>
        <w:pStyle w:val="4"/>
        <w:spacing w:before="0" w:after="0" w:line="56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5"/>
        <w:rPr>
          <w:sz w:val="24"/>
          <w:szCs w:val="24"/>
          <w:lang w:val="en-US"/>
        </w:rPr>
      </w:pPr>
    </w:p>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pPr>
        <w:pStyle w:val="33"/>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pPr>
        <w:pStyle w:val="33"/>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4"/>
    <w:p>
      <w:pPr>
        <w:pStyle w:val="33"/>
        <w:ind w:firstLine="210"/>
      </w:pPr>
    </w:p>
    <w:p>
      <w:pPr>
        <w:pStyle w:val="33"/>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pPr>
        <w:pStyle w:val="33"/>
        <w:ind w:firstLine="210"/>
      </w:pPr>
    </w:p>
    <w:bookmarkEnd w:id="92"/>
    <w:p>
      <w:pPr>
        <w:pStyle w:val="33"/>
        <w:ind w:firstLine="210"/>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pPr>
        <w:pStyle w:val="4"/>
        <w:spacing w:before="0" w:after="0" w:line="560" w:lineRule="exact"/>
        <w:jc w:val="center"/>
        <w:rPr>
          <w:rFonts w:ascii="宋体" w:hAnsi="宋体" w:eastAsia="宋体" w:cs="宋体"/>
          <w:sz w:val="24"/>
          <w:szCs w:val="24"/>
          <w:lang w:val="zh-CN"/>
        </w:rPr>
      </w:pPr>
      <w:bookmarkStart w:id="97" w:name="_Toc25238"/>
      <w:bookmarkStart w:id="98" w:name="_Toc11166"/>
      <w:r>
        <w:rPr>
          <w:rFonts w:hint="eastAsia" w:ascii="宋体" w:hAnsi="宋体" w:eastAsia="宋体" w:cs="宋体"/>
          <w:sz w:val="24"/>
          <w:szCs w:val="24"/>
          <w:lang w:val="zh-CN"/>
        </w:rPr>
        <w:t>响应情况表</w:t>
      </w:r>
      <w:bookmarkEnd w:id="97"/>
      <w:bookmarkEnd w:id="98"/>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9"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5"/>
        <w:spacing w:before="0" w:after="0"/>
        <w:rPr>
          <w:sz w:val="24"/>
          <w:szCs w:val="24"/>
        </w:rPr>
      </w:pPr>
      <w:r>
        <w:rPr>
          <w:rFonts w:hint="eastAsia"/>
          <w:sz w:val="24"/>
          <w:szCs w:val="24"/>
        </w:rPr>
        <w:br w:type="page"/>
      </w:r>
    </w:p>
    <w:bookmarkEnd w:id="99"/>
    <w:p>
      <w:pPr>
        <w:numPr>
          <w:ilvl w:val="0"/>
          <w:numId w:val="0"/>
        </w:numPr>
        <w:jc w:val="both"/>
        <w:rPr>
          <w:rFonts w:hint="eastAsia" w:ascii="宋体" w:hAnsi="宋体"/>
          <w:b/>
          <w:color w:val="FF0000"/>
          <w:sz w:val="28"/>
          <w:szCs w:val="28"/>
          <w:lang w:eastAsia="zh-CN"/>
        </w:rPr>
      </w:pPr>
      <w:bookmarkStart w:id="100" w:name="_Toc3177"/>
    </w:p>
    <w:p>
      <w:pPr>
        <w:numPr>
          <w:ilvl w:val="0"/>
          <w:numId w:val="0"/>
        </w:numPr>
        <w:jc w:val="both"/>
        <w:rPr>
          <w:rFonts w:hint="eastAsia" w:ascii="宋体" w:hAnsi="宋体" w:eastAsia="宋体" w:cs="宋体"/>
          <w:sz w:val="24"/>
          <w:szCs w:val="24"/>
          <w:lang w:val="en-US" w:eastAsia="zh-CN"/>
        </w:rPr>
      </w:pPr>
      <w:bookmarkStart w:id="101" w:name="_Toc3426"/>
      <w:r>
        <w:rPr>
          <w:rFonts w:hint="eastAsia" w:ascii="宋体" w:hAnsi="宋体" w:eastAsia="宋体" w:cs="宋体"/>
          <w:b/>
          <w:bCs/>
          <w:sz w:val="24"/>
          <w:szCs w:val="24"/>
        </w:rPr>
        <w:t>附件</w:t>
      </w:r>
      <w:bookmarkEnd w:id="101"/>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2" w:name="_Toc19723"/>
      <w:bookmarkStart w:id="103" w:name="_Toc28850"/>
      <w:r>
        <w:rPr>
          <w:rFonts w:hint="eastAsia" w:ascii="宋体" w:hAnsi="宋体" w:eastAsia="宋体" w:cs="宋体"/>
          <w:b w:val="0"/>
          <w:bCs/>
          <w:sz w:val="24"/>
          <w:szCs w:val="24"/>
        </w:rPr>
        <w:t>谈判文件要求和供应商认为需要提供的其它说明和资料</w:t>
      </w:r>
      <w:bookmarkEnd w:id="102"/>
      <w:bookmarkEnd w:id="103"/>
    </w:p>
    <w:p>
      <w:pPr>
        <w:rPr>
          <w:rFonts w:hint="default"/>
          <w:lang w:val="en-US" w:eastAsia="zh-CN"/>
        </w:rPr>
      </w:pPr>
    </w:p>
    <w:bookmarkEnd w:id="100"/>
    <w:p>
      <w:pPr>
        <w:rPr>
          <w:rFonts w:hint="eastAsia" w:ascii="宋体" w:hAnsi="宋体" w:eastAsia="宋体" w:cs="宋体"/>
          <w:sz w:val="24"/>
          <w:szCs w:val="24"/>
        </w:rPr>
      </w:pPr>
      <w:bookmarkStart w:id="104" w:name="_Toc23763"/>
      <w:bookmarkStart w:id="105" w:name="_Toc5314"/>
      <w:r>
        <w:rPr>
          <w:rFonts w:hint="eastAsia" w:ascii="宋体" w:hAnsi="宋体" w:eastAsia="宋体" w:cs="宋体"/>
          <w:sz w:val="24"/>
          <w:szCs w:val="24"/>
        </w:rPr>
        <w:br w:type="page"/>
      </w:r>
    </w:p>
    <w:p>
      <w:pPr>
        <w:pStyle w:val="4"/>
        <w:spacing w:before="0" w:after="0" w:line="560" w:lineRule="exact"/>
        <w:rPr>
          <w:rStyle w:val="113"/>
          <w:rFonts w:ascii="宋体" w:hAnsi="宋体" w:eastAsia="宋体" w:cs="宋体"/>
          <w:b/>
          <w:sz w:val="24"/>
          <w:szCs w:val="24"/>
        </w:rPr>
      </w:pPr>
      <w:r>
        <w:rPr>
          <w:rFonts w:hint="eastAsia" w:ascii="宋体" w:hAnsi="宋体" w:eastAsia="宋体" w:cs="宋体"/>
          <w:sz w:val="24"/>
          <w:szCs w:val="24"/>
        </w:rPr>
        <w:t>附件</w:t>
      </w:r>
      <w:bookmarkEnd w:id="104"/>
      <w:bookmarkEnd w:id="105"/>
      <w:r>
        <w:rPr>
          <w:rFonts w:hint="eastAsia" w:ascii="宋体" w:hAnsi="宋体" w:eastAsia="宋体" w:cs="宋体"/>
          <w:sz w:val="24"/>
          <w:szCs w:val="24"/>
          <w:lang w:val="en-US" w:eastAsia="zh-CN"/>
        </w:rPr>
        <w:t xml:space="preserve">八                      </w:t>
      </w:r>
      <w:r>
        <w:rPr>
          <w:rStyle w:val="113"/>
          <w:rFonts w:hint="eastAsia" w:ascii="宋体" w:hAnsi="宋体" w:eastAsia="宋体" w:cs="宋体"/>
          <w:b/>
          <w:sz w:val="24"/>
          <w:szCs w:val="24"/>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（某项目第</w:t>
      </w:r>
      <w:r>
        <w:rPr>
          <w:rFonts w:ascii="宋体" w:hAnsi="宋体" w:eastAsia="宋体" w:cs="宋体"/>
          <w:b/>
          <w:bCs/>
          <w:sz w:val="24"/>
          <w:szCs w:val="24"/>
          <w:u w:val="single"/>
          <w:lang w:val="zh-CN" w:eastAsia="zh-CN" w:bidi="zh-CN"/>
        </w:rPr>
        <w:t xml:space="preserve"> </w:t>
      </w:r>
      <w:r>
        <w:rPr>
          <w:rFonts w:ascii="宋体" w:hAnsi="宋体" w:eastAsia="宋体" w:cs="宋体"/>
          <w:b/>
          <w:bCs/>
          <w:sz w:val="24"/>
          <w:szCs w:val="24"/>
          <w:u w:val="single"/>
          <w:lang w:val="zh-CN" w:eastAsia="zh-CN" w:bidi="zh-CN"/>
        </w:rPr>
        <w:tab/>
      </w:r>
      <w:r>
        <w:rPr>
          <w:rFonts w:ascii="宋体" w:hAnsi="宋体" w:eastAsia="宋体" w:cs="宋体"/>
          <w:b/>
          <w:bCs/>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r>
        <w:rPr>
          <w:rFonts w:ascii="宋体" w:hAnsi="宋体" w:eastAsia="宋体" w:cs="宋体"/>
          <w:b/>
          <w:bCs/>
          <w:sz w:val="24"/>
          <w:szCs w:val="24"/>
          <w:u w:val="single"/>
          <w:lang w:val="zh-CN" w:eastAsia="zh-CN" w:bidi="zh-CN"/>
        </w:rPr>
        <w:t xml:space="preserve">    </w:t>
      </w: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highlight w:val="none"/>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highlight w:val="none"/>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highlight w:val="none"/>
                <w:lang w:val="en-US" w:eastAsia="zh-CN" w:bidi="zh-CN"/>
              </w:rPr>
            </w:pPr>
            <w:r>
              <w:rPr>
                <w:rFonts w:hint="default" w:ascii="宋体" w:hAnsi="宋体" w:eastAsia="宋体" w:cs="宋体"/>
                <w:sz w:val="24"/>
                <w:szCs w:val="22"/>
                <w:highlight w:val="none"/>
                <w:lang w:val="zh-CN" w:eastAsia="zh-CN" w:bidi="zh-CN"/>
              </w:rPr>
              <w:t>人民币大写</w:t>
            </w:r>
            <w:r>
              <w:rPr>
                <w:rFonts w:hint="eastAsia" w:ascii="宋体" w:hAnsi="宋体" w:cs="宋体"/>
                <w:sz w:val="24"/>
                <w:szCs w:val="22"/>
                <w:highlight w:val="none"/>
                <w:lang w:val="en-US" w:eastAsia="zh-CN" w:bidi="zh-CN"/>
              </w:rPr>
              <w:t xml:space="preserve"> </w:t>
            </w:r>
            <w:r>
              <w:rPr>
                <w:rFonts w:hint="default" w:ascii="宋体" w:hAnsi="宋体" w:eastAsia="宋体" w:cs="宋体"/>
                <w:sz w:val="24"/>
                <w:szCs w:val="22"/>
                <w:highlight w:val="none"/>
                <w:lang w:val="zh-CN" w:eastAsia="zh-CN" w:bidi="zh-CN"/>
              </w:rPr>
              <w:t>：</w:t>
            </w:r>
            <w:r>
              <w:rPr>
                <w:rFonts w:hint="default" w:ascii="Times New Roman" w:hAnsi="宋体" w:eastAsia="Times New Roman" w:cs="宋体"/>
                <w:sz w:val="24"/>
                <w:szCs w:val="22"/>
                <w:highlight w:val="none"/>
                <w:u w:val="single"/>
                <w:lang w:val="zh-CN" w:eastAsia="zh-CN" w:bidi="zh-CN"/>
              </w:rPr>
              <w:t xml:space="preserve"> </w:t>
            </w:r>
            <w:r>
              <w:rPr>
                <w:rFonts w:hint="default" w:ascii="Times New Roman" w:hAnsi="宋体" w:eastAsia="Times New Roman" w:cs="宋体"/>
                <w:sz w:val="24"/>
                <w:szCs w:val="22"/>
                <w:highlight w:val="none"/>
                <w:u w:val="single"/>
                <w:lang w:val="zh-CN" w:eastAsia="zh-CN" w:bidi="zh-CN"/>
              </w:rPr>
              <w:tab/>
            </w:r>
          </w:p>
          <w:p>
            <w:pPr>
              <w:keepNext w:val="0"/>
              <w:keepLines w:val="0"/>
              <w:widowControl w:val="0"/>
              <w:suppressLineNumbers w:val="0"/>
              <w:tabs>
                <w:tab w:val="left" w:pos="4482"/>
              </w:tabs>
              <w:autoSpaceDE w:val="0"/>
              <w:autoSpaceDN w:val="0"/>
              <w:spacing w:before="0" w:beforeAutospacing="0" w:after="0" w:afterAutospacing="0" w:line="240" w:lineRule="auto"/>
              <w:ind w:left="584" w:leftChars="278" w:right="0" w:firstLine="0" w:firstLineChars="0"/>
              <w:jc w:val="left"/>
              <w:rPr>
                <w:rFonts w:hint="default" w:ascii="Times New Roman" w:hAnsi="宋体" w:eastAsia="Times New Roman" w:cs="宋体"/>
                <w:sz w:val="24"/>
                <w:szCs w:val="22"/>
                <w:lang w:val="en-US" w:eastAsia="zh-CN" w:bidi="zh-CN"/>
              </w:rPr>
            </w:pPr>
            <w:r>
              <w:rPr>
                <w:rFonts w:hint="eastAsia" w:ascii="宋体" w:hAnsi="宋体" w:cs="宋体"/>
                <w:sz w:val="24"/>
                <w:szCs w:val="22"/>
                <w:highlight w:val="none"/>
                <w:lang w:val="zh-CN" w:eastAsia="zh-CN" w:bidi="zh-CN"/>
              </w:rPr>
              <w:t>（</w:t>
            </w:r>
            <w:r>
              <w:rPr>
                <w:rFonts w:hint="eastAsia" w:ascii="宋体" w:hAnsi="宋体" w:cs="宋体"/>
                <w:sz w:val="24"/>
                <w:szCs w:val="22"/>
                <w:highlight w:val="none"/>
                <w:lang w:val="en-US" w:eastAsia="zh-CN" w:bidi="zh-CN"/>
              </w:rPr>
              <w:t>小写</w:t>
            </w:r>
            <w:r>
              <w:rPr>
                <w:rFonts w:hint="eastAsia" w:ascii="宋体" w:hAnsi="宋体" w:cs="宋体"/>
                <w:sz w:val="24"/>
                <w:szCs w:val="22"/>
                <w:highlight w:val="none"/>
                <w:lang w:val="zh-CN" w:eastAsia="zh-CN" w:bidi="zh-CN"/>
              </w:rPr>
              <w:t>）</w:t>
            </w:r>
            <w:r>
              <w:rPr>
                <w:rFonts w:hint="default" w:ascii="宋体" w:hAnsi="宋体" w:eastAsia="宋体" w:cs="宋体"/>
                <w:sz w:val="24"/>
                <w:szCs w:val="22"/>
                <w:highlight w:val="none"/>
                <w:lang w:val="zh-CN" w:eastAsia="zh-CN" w:bidi="zh-CN"/>
              </w:rPr>
              <w:t>：</w:t>
            </w:r>
            <w:r>
              <w:rPr>
                <w:rFonts w:hint="default" w:ascii="Times New Roman" w:hAnsi="宋体" w:eastAsia="Times New Roman" w:cs="宋体"/>
                <w:sz w:val="24"/>
                <w:szCs w:val="22"/>
                <w:highlight w:val="none"/>
                <w:u w:val="single"/>
                <w:lang w:val="zh-CN" w:eastAsia="zh-CN" w:bidi="zh-CN"/>
              </w:rPr>
              <w:t xml:space="preserve"> </w:t>
            </w:r>
            <w:r>
              <w:rPr>
                <w:rFonts w:hint="default" w:ascii="Times New Roman" w:hAnsi="宋体" w:eastAsia="Times New Roman" w:cs="宋体"/>
                <w:sz w:val="24"/>
                <w:szCs w:val="22"/>
                <w:highlight w:val="none"/>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highlight w:val="none"/>
                <w:lang w:val="en-US" w:eastAsia="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eastAsia"/>
                <w:highlight w:val="none"/>
                <w:lang w:val="en-US" w:eastAsia="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eastAsia"/>
                <w:highlight w:val="none"/>
                <w:lang w:val="en-US" w:eastAsia="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r>
              <w:rPr>
                <w:rFonts w:hint="eastAsia"/>
                <w:highlight w:val="none"/>
                <w:lang w:val="en-US" w:eastAsia="zh-CN"/>
              </w:rPr>
              <w:t>如大小写不一致，以大写为准</w:t>
            </w: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后承诺报价后，（第一次报价-最后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3"/>
        </w:numPr>
        <w:ind w:left="0" w:leftChars="0" w:firstLine="0" w:firstLineChars="0"/>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p>
    <w:p>
      <w:pPr>
        <w:bidi w:val="0"/>
        <w:spacing w:line="360" w:lineRule="auto"/>
        <w:jc w:val="left"/>
        <w:rPr>
          <w:bCs/>
          <w:highlight w:val="yellow"/>
        </w:rPr>
      </w:pPr>
      <w:r>
        <w:rPr>
          <w:rFonts w:hint="eastAsia" w:asciiTheme="minorEastAsia" w:hAnsiTheme="minorEastAsia" w:eastAsiaTheme="minorEastAsia" w:cstheme="minorEastAsia"/>
          <w:b/>
          <w:bCs/>
          <w:sz w:val="24"/>
          <w:szCs w:val="22"/>
          <w:highlight w:val="none"/>
          <w:lang w:val="en-US" w:eastAsia="zh-CN"/>
        </w:rPr>
        <w:t>3.最终报价单位为元，最多保留2位小数，否则按无效报价处理。</w:t>
      </w:r>
    </w:p>
    <w:sectPr>
      <w:headerReference r:id="rId5" w:type="default"/>
      <w:footerReference r:id="rId7" w:type="default"/>
      <w:headerReference r:id="rId6" w:type="even"/>
      <w:footerReference r:id="rId8"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9B01543-7B2E-4439-A358-77028CA1B2DA}"/>
  </w:font>
  <w:font w:name="黑体">
    <w:panose1 w:val="02010609060101010101"/>
    <w:charset w:val="86"/>
    <w:family w:val="auto"/>
    <w:pitch w:val="default"/>
    <w:sig w:usb0="800002BF" w:usb1="38CF7CFA" w:usb2="00000016" w:usb3="00000000" w:csb0="00040001" w:csb1="00000000"/>
    <w:embedRegular r:id="rId2" w:fontKey="{7DC2DB90-1167-45A4-9F64-38A5DE99A5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8B544EE-AD23-46F0-97F2-80217D1E6762}"/>
  </w:font>
  <w:font w:name="仿宋_GB2312">
    <w:panose1 w:val="02010609030101010101"/>
    <w:charset w:val="86"/>
    <w:family w:val="auto"/>
    <w:pitch w:val="default"/>
    <w:sig w:usb0="00000001" w:usb1="080E0000" w:usb2="00000000" w:usb3="00000000" w:csb0="00040000" w:csb1="00000000"/>
    <w:embedRegular r:id="rId4" w:fontKey="{B37DD9C2-41F5-40FB-B424-11EB7B0919A8}"/>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1C39B2D7-C40E-4C82-AA5B-B5518A271891}"/>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F0A5E64F-5783-4F9A-AEDF-5A74E89A5130}"/>
  </w:font>
  <w:font w:name="华文中宋">
    <w:panose1 w:val="02010600040101010101"/>
    <w:charset w:val="86"/>
    <w:family w:val="auto"/>
    <w:pitch w:val="default"/>
    <w:sig w:usb0="00000287" w:usb1="080F0000" w:usb2="00000000" w:usb3="00000000" w:csb0="0004009F" w:csb1="DFD70000"/>
    <w:embedRegular r:id="rId7" w:fontKey="{8DBF981D-F707-4C60-856B-5FEB4D12F332}"/>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E1F85F9C"/>
    <w:multiLevelType w:val="singleLevel"/>
    <w:tmpl w:val="E1F85F9C"/>
    <w:lvl w:ilvl="0" w:tentative="0">
      <w:start w:val="2"/>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6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1af5fc02-60c4-409b-a53c-a57082fb50fe"/>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45556"/>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ED3B47"/>
    <w:rsid w:val="026B700F"/>
    <w:rsid w:val="02734D70"/>
    <w:rsid w:val="02BF3353"/>
    <w:rsid w:val="02D74FCF"/>
    <w:rsid w:val="03052939"/>
    <w:rsid w:val="03062E20"/>
    <w:rsid w:val="0311396F"/>
    <w:rsid w:val="0338350D"/>
    <w:rsid w:val="03791143"/>
    <w:rsid w:val="03B22505"/>
    <w:rsid w:val="03D23972"/>
    <w:rsid w:val="03FE01E1"/>
    <w:rsid w:val="04067181"/>
    <w:rsid w:val="04090C37"/>
    <w:rsid w:val="0442248D"/>
    <w:rsid w:val="04637088"/>
    <w:rsid w:val="046E3E44"/>
    <w:rsid w:val="047F6792"/>
    <w:rsid w:val="0495144E"/>
    <w:rsid w:val="04EE7346"/>
    <w:rsid w:val="04FC43D1"/>
    <w:rsid w:val="05045387"/>
    <w:rsid w:val="05104E6D"/>
    <w:rsid w:val="051D7461"/>
    <w:rsid w:val="053346E9"/>
    <w:rsid w:val="05764F65"/>
    <w:rsid w:val="05CD4D4D"/>
    <w:rsid w:val="05ED76CD"/>
    <w:rsid w:val="06021ED4"/>
    <w:rsid w:val="06262FF6"/>
    <w:rsid w:val="062F6A41"/>
    <w:rsid w:val="065F13E0"/>
    <w:rsid w:val="068A111A"/>
    <w:rsid w:val="068C4046"/>
    <w:rsid w:val="06DC0E5C"/>
    <w:rsid w:val="071C0D73"/>
    <w:rsid w:val="07267565"/>
    <w:rsid w:val="07396563"/>
    <w:rsid w:val="076D323D"/>
    <w:rsid w:val="078C18B4"/>
    <w:rsid w:val="07A20F5E"/>
    <w:rsid w:val="0834567D"/>
    <w:rsid w:val="085E5B1B"/>
    <w:rsid w:val="08A20647"/>
    <w:rsid w:val="08B975E0"/>
    <w:rsid w:val="094A1A48"/>
    <w:rsid w:val="095F7F4C"/>
    <w:rsid w:val="0992356F"/>
    <w:rsid w:val="09A60123"/>
    <w:rsid w:val="09AE75F4"/>
    <w:rsid w:val="09B95F2A"/>
    <w:rsid w:val="0A0C7574"/>
    <w:rsid w:val="0A424E4D"/>
    <w:rsid w:val="0A7C443D"/>
    <w:rsid w:val="0AB47D8E"/>
    <w:rsid w:val="0AF82AC1"/>
    <w:rsid w:val="0B61144B"/>
    <w:rsid w:val="0B66533A"/>
    <w:rsid w:val="0B84414D"/>
    <w:rsid w:val="0BD46BAD"/>
    <w:rsid w:val="0BE120B2"/>
    <w:rsid w:val="0BF3543A"/>
    <w:rsid w:val="0C3A7447"/>
    <w:rsid w:val="0CAA47CE"/>
    <w:rsid w:val="0CEC43CA"/>
    <w:rsid w:val="0D50431A"/>
    <w:rsid w:val="0D5F7C0C"/>
    <w:rsid w:val="0D6921B0"/>
    <w:rsid w:val="0D97728E"/>
    <w:rsid w:val="0DC23737"/>
    <w:rsid w:val="0DD74F5A"/>
    <w:rsid w:val="0DF20A80"/>
    <w:rsid w:val="0DF624E0"/>
    <w:rsid w:val="0E21417E"/>
    <w:rsid w:val="0E346850"/>
    <w:rsid w:val="0E404088"/>
    <w:rsid w:val="0E4B3226"/>
    <w:rsid w:val="0EA113FA"/>
    <w:rsid w:val="0ECA11CC"/>
    <w:rsid w:val="0EE028AD"/>
    <w:rsid w:val="0F0019B5"/>
    <w:rsid w:val="0F390E8E"/>
    <w:rsid w:val="0F8F57EF"/>
    <w:rsid w:val="0FD22917"/>
    <w:rsid w:val="0FF97625"/>
    <w:rsid w:val="0FFA6300"/>
    <w:rsid w:val="10044E18"/>
    <w:rsid w:val="1018304A"/>
    <w:rsid w:val="10722611"/>
    <w:rsid w:val="10804E89"/>
    <w:rsid w:val="10B5746D"/>
    <w:rsid w:val="110475FD"/>
    <w:rsid w:val="110E719E"/>
    <w:rsid w:val="11200448"/>
    <w:rsid w:val="119066D9"/>
    <w:rsid w:val="11A335B5"/>
    <w:rsid w:val="11AE35E8"/>
    <w:rsid w:val="11D7156C"/>
    <w:rsid w:val="11DD1222"/>
    <w:rsid w:val="1219428E"/>
    <w:rsid w:val="125B747C"/>
    <w:rsid w:val="12CD27E6"/>
    <w:rsid w:val="1303465D"/>
    <w:rsid w:val="13490C7D"/>
    <w:rsid w:val="135C3D02"/>
    <w:rsid w:val="13E9022F"/>
    <w:rsid w:val="13EF2913"/>
    <w:rsid w:val="14294AD0"/>
    <w:rsid w:val="14685176"/>
    <w:rsid w:val="14CD32D3"/>
    <w:rsid w:val="14D507B4"/>
    <w:rsid w:val="14E27C21"/>
    <w:rsid w:val="151770AE"/>
    <w:rsid w:val="15187188"/>
    <w:rsid w:val="153B2049"/>
    <w:rsid w:val="15614DA8"/>
    <w:rsid w:val="158A77F0"/>
    <w:rsid w:val="15AD79BC"/>
    <w:rsid w:val="15AF0B00"/>
    <w:rsid w:val="15ED2F75"/>
    <w:rsid w:val="16066864"/>
    <w:rsid w:val="160752E5"/>
    <w:rsid w:val="163D0A87"/>
    <w:rsid w:val="165D661E"/>
    <w:rsid w:val="16991EF7"/>
    <w:rsid w:val="16DC407B"/>
    <w:rsid w:val="170F0CFF"/>
    <w:rsid w:val="172779EC"/>
    <w:rsid w:val="173850A7"/>
    <w:rsid w:val="174C0AC9"/>
    <w:rsid w:val="1755038C"/>
    <w:rsid w:val="177B4CDC"/>
    <w:rsid w:val="17BA7FA6"/>
    <w:rsid w:val="17DC43BC"/>
    <w:rsid w:val="18C878F2"/>
    <w:rsid w:val="18ED2570"/>
    <w:rsid w:val="18FB18A3"/>
    <w:rsid w:val="192B2CC7"/>
    <w:rsid w:val="197D3E49"/>
    <w:rsid w:val="198B1495"/>
    <w:rsid w:val="19CD5BAF"/>
    <w:rsid w:val="1A0725B2"/>
    <w:rsid w:val="1A630ED2"/>
    <w:rsid w:val="1A6C248D"/>
    <w:rsid w:val="1A8E38DF"/>
    <w:rsid w:val="1AD23FC4"/>
    <w:rsid w:val="1AE747FC"/>
    <w:rsid w:val="1AF45622"/>
    <w:rsid w:val="1B0E2C71"/>
    <w:rsid w:val="1B5A7D5C"/>
    <w:rsid w:val="1B7B26E1"/>
    <w:rsid w:val="1B8A33D7"/>
    <w:rsid w:val="1C1A0C17"/>
    <w:rsid w:val="1C1E6EE4"/>
    <w:rsid w:val="1C32741A"/>
    <w:rsid w:val="1C405AE5"/>
    <w:rsid w:val="1C577EAD"/>
    <w:rsid w:val="1D0C75F3"/>
    <w:rsid w:val="1D960483"/>
    <w:rsid w:val="1DC817B3"/>
    <w:rsid w:val="1DF15284"/>
    <w:rsid w:val="1E071163"/>
    <w:rsid w:val="1E0A2DCB"/>
    <w:rsid w:val="1E5F77E6"/>
    <w:rsid w:val="1E9516DF"/>
    <w:rsid w:val="1F171CFB"/>
    <w:rsid w:val="1F3C13B6"/>
    <w:rsid w:val="1F4B49D6"/>
    <w:rsid w:val="1F776284"/>
    <w:rsid w:val="1F780DC2"/>
    <w:rsid w:val="1FCB070D"/>
    <w:rsid w:val="1FEC17D3"/>
    <w:rsid w:val="1FF85069"/>
    <w:rsid w:val="2048554E"/>
    <w:rsid w:val="20975846"/>
    <w:rsid w:val="20C7323A"/>
    <w:rsid w:val="20E916A5"/>
    <w:rsid w:val="20F41885"/>
    <w:rsid w:val="210F2D41"/>
    <w:rsid w:val="2163607F"/>
    <w:rsid w:val="21993B18"/>
    <w:rsid w:val="21B24356"/>
    <w:rsid w:val="22464B8D"/>
    <w:rsid w:val="22525E7D"/>
    <w:rsid w:val="228A3E5A"/>
    <w:rsid w:val="229A201B"/>
    <w:rsid w:val="239974D6"/>
    <w:rsid w:val="23D74548"/>
    <w:rsid w:val="23E266D0"/>
    <w:rsid w:val="23E4618A"/>
    <w:rsid w:val="23F154BE"/>
    <w:rsid w:val="24431BDE"/>
    <w:rsid w:val="244A32B2"/>
    <w:rsid w:val="244E3D8C"/>
    <w:rsid w:val="24B335CE"/>
    <w:rsid w:val="24B73453"/>
    <w:rsid w:val="24F009A8"/>
    <w:rsid w:val="258231E5"/>
    <w:rsid w:val="25832875"/>
    <w:rsid w:val="25EF0E4B"/>
    <w:rsid w:val="26246FD7"/>
    <w:rsid w:val="26567E68"/>
    <w:rsid w:val="266F36FB"/>
    <w:rsid w:val="269C26E3"/>
    <w:rsid w:val="26F97002"/>
    <w:rsid w:val="270D6E87"/>
    <w:rsid w:val="272630C2"/>
    <w:rsid w:val="27271343"/>
    <w:rsid w:val="272E2D63"/>
    <w:rsid w:val="27410CB9"/>
    <w:rsid w:val="276D441A"/>
    <w:rsid w:val="27B626C7"/>
    <w:rsid w:val="27E72880"/>
    <w:rsid w:val="2861396F"/>
    <w:rsid w:val="288478C5"/>
    <w:rsid w:val="28AF6A0B"/>
    <w:rsid w:val="28B44010"/>
    <w:rsid w:val="29044E0B"/>
    <w:rsid w:val="292F4F61"/>
    <w:rsid w:val="29384EA8"/>
    <w:rsid w:val="295039A3"/>
    <w:rsid w:val="29E26463"/>
    <w:rsid w:val="2A07065D"/>
    <w:rsid w:val="2A0A08C3"/>
    <w:rsid w:val="2A534564"/>
    <w:rsid w:val="2A573A70"/>
    <w:rsid w:val="2AE23BB0"/>
    <w:rsid w:val="2AF41CBD"/>
    <w:rsid w:val="2B1C0253"/>
    <w:rsid w:val="2B404B09"/>
    <w:rsid w:val="2BFA65A3"/>
    <w:rsid w:val="2C055CCA"/>
    <w:rsid w:val="2C101F53"/>
    <w:rsid w:val="2C3E0CD1"/>
    <w:rsid w:val="2C506C46"/>
    <w:rsid w:val="2CBD48CE"/>
    <w:rsid w:val="2CDF7FCA"/>
    <w:rsid w:val="2CE211B2"/>
    <w:rsid w:val="2CEE22F0"/>
    <w:rsid w:val="2D1625DA"/>
    <w:rsid w:val="2D675E34"/>
    <w:rsid w:val="2D764C99"/>
    <w:rsid w:val="2DB425B3"/>
    <w:rsid w:val="2E015B36"/>
    <w:rsid w:val="2E275F81"/>
    <w:rsid w:val="2E28730F"/>
    <w:rsid w:val="2E4E51C2"/>
    <w:rsid w:val="2E520EAC"/>
    <w:rsid w:val="2E77681E"/>
    <w:rsid w:val="2F320885"/>
    <w:rsid w:val="2F4B2B19"/>
    <w:rsid w:val="2F6246CC"/>
    <w:rsid w:val="2F9F5447"/>
    <w:rsid w:val="2FC53683"/>
    <w:rsid w:val="2FE97A5F"/>
    <w:rsid w:val="2FFE4B1D"/>
    <w:rsid w:val="300B44EE"/>
    <w:rsid w:val="305A47DE"/>
    <w:rsid w:val="30626A70"/>
    <w:rsid w:val="30671D75"/>
    <w:rsid w:val="309E348C"/>
    <w:rsid w:val="30CB35CF"/>
    <w:rsid w:val="310D77FB"/>
    <w:rsid w:val="31394322"/>
    <w:rsid w:val="3184082E"/>
    <w:rsid w:val="31A04520"/>
    <w:rsid w:val="32214672"/>
    <w:rsid w:val="32583B43"/>
    <w:rsid w:val="3259541C"/>
    <w:rsid w:val="32617B06"/>
    <w:rsid w:val="328304A8"/>
    <w:rsid w:val="32877139"/>
    <w:rsid w:val="32BC5F4D"/>
    <w:rsid w:val="33154A22"/>
    <w:rsid w:val="33D03C54"/>
    <w:rsid w:val="33ED121E"/>
    <w:rsid w:val="33FE364D"/>
    <w:rsid w:val="3429115A"/>
    <w:rsid w:val="34552B6F"/>
    <w:rsid w:val="348014B5"/>
    <w:rsid w:val="349F56CD"/>
    <w:rsid w:val="34DA0BF7"/>
    <w:rsid w:val="34F2580B"/>
    <w:rsid w:val="354A5F40"/>
    <w:rsid w:val="354B5DFE"/>
    <w:rsid w:val="35803C3D"/>
    <w:rsid w:val="35B069A7"/>
    <w:rsid w:val="35B71AE4"/>
    <w:rsid w:val="35B72619"/>
    <w:rsid w:val="35C40129"/>
    <w:rsid w:val="35D35739"/>
    <w:rsid w:val="35F42A51"/>
    <w:rsid w:val="35FFEC5E"/>
    <w:rsid w:val="36024564"/>
    <w:rsid w:val="361138EA"/>
    <w:rsid w:val="361F260A"/>
    <w:rsid w:val="36276335"/>
    <w:rsid w:val="36981B5D"/>
    <w:rsid w:val="36A9634B"/>
    <w:rsid w:val="36B77548"/>
    <w:rsid w:val="36D079C8"/>
    <w:rsid w:val="36EB7CE0"/>
    <w:rsid w:val="370F76FD"/>
    <w:rsid w:val="377D1279"/>
    <w:rsid w:val="379C0375"/>
    <w:rsid w:val="37C37320"/>
    <w:rsid w:val="37D716E7"/>
    <w:rsid w:val="37DD7CE8"/>
    <w:rsid w:val="380134EA"/>
    <w:rsid w:val="38595DA0"/>
    <w:rsid w:val="38631B53"/>
    <w:rsid w:val="386D5472"/>
    <w:rsid w:val="390327BB"/>
    <w:rsid w:val="39167469"/>
    <w:rsid w:val="39300C7D"/>
    <w:rsid w:val="394E33E8"/>
    <w:rsid w:val="396C6CF4"/>
    <w:rsid w:val="396E656A"/>
    <w:rsid w:val="398E6F62"/>
    <w:rsid w:val="39E6508D"/>
    <w:rsid w:val="39F96531"/>
    <w:rsid w:val="3A0E4BED"/>
    <w:rsid w:val="3A290002"/>
    <w:rsid w:val="3A2E128F"/>
    <w:rsid w:val="3A8E671E"/>
    <w:rsid w:val="3A8F3EBA"/>
    <w:rsid w:val="3AB10259"/>
    <w:rsid w:val="3AB567AE"/>
    <w:rsid w:val="3ABA6222"/>
    <w:rsid w:val="3AD674BD"/>
    <w:rsid w:val="3B1B510F"/>
    <w:rsid w:val="3B301F44"/>
    <w:rsid w:val="3B3716DA"/>
    <w:rsid w:val="3B56546E"/>
    <w:rsid w:val="3B9373E6"/>
    <w:rsid w:val="3B9A1C8B"/>
    <w:rsid w:val="3BAE4829"/>
    <w:rsid w:val="3BDF73C5"/>
    <w:rsid w:val="3C05453A"/>
    <w:rsid w:val="3C150993"/>
    <w:rsid w:val="3C1C6B44"/>
    <w:rsid w:val="3C34130B"/>
    <w:rsid w:val="3C4C39CC"/>
    <w:rsid w:val="3C62381D"/>
    <w:rsid w:val="3CB85AD7"/>
    <w:rsid w:val="3D012923"/>
    <w:rsid w:val="3D6C29C5"/>
    <w:rsid w:val="3D743CDB"/>
    <w:rsid w:val="3D7F078F"/>
    <w:rsid w:val="3D902D22"/>
    <w:rsid w:val="3D9861EB"/>
    <w:rsid w:val="3DAA64C3"/>
    <w:rsid w:val="3DF4021A"/>
    <w:rsid w:val="3E047963"/>
    <w:rsid w:val="3E547D6D"/>
    <w:rsid w:val="3E725537"/>
    <w:rsid w:val="3E8E5BBA"/>
    <w:rsid w:val="3EDC10FF"/>
    <w:rsid w:val="3F0A5E23"/>
    <w:rsid w:val="3F3F2FD1"/>
    <w:rsid w:val="3F520FBF"/>
    <w:rsid w:val="3F9803DD"/>
    <w:rsid w:val="402E1B38"/>
    <w:rsid w:val="405A4873"/>
    <w:rsid w:val="406022E2"/>
    <w:rsid w:val="407B3EBF"/>
    <w:rsid w:val="40DF693D"/>
    <w:rsid w:val="40F16A8E"/>
    <w:rsid w:val="40F90CFD"/>
    <w:rsid w:val="411C5418"/>
    <w:rsid w:val="412545BE"/>
    <w:rsid w:val="4184340D"/>
    <w:rsid w:val="41E21275"/>
    <w:rsid w:val="428B0580"/>
    <w:rsid w:val="42F6152E"/>
    <w:rsid w:val="42FF6CFF"/>
    <w:rsid w:val="430033F2"/>
    <w:rsid w:val="43075E6E"/>
    <w:rsid w:val="43236A0A"/>
    <w:rsid w:val="43771108"/>
    <w:rsid w:val="438C4E1A"/>
    <w:rsid w:val="43DB14AC"/>
    <w:rsid w:val="44174028"/>
    <w:rsid w:val="446523D2"/>
    <w:rsid w:val="447062AE"/>
    <w:rsid w:val="44765180"/>
    <w:rsid w:val="44BB500C"/>
    <w:rsid w:val="44DA0696"/>
    <w:rsid w:val="44E45943"/>
    <w:rsid w:val="45141267"/>
    <w:rsid w:val="4583380E"/>
    <w:rsid w:val="45993146"/>
    <w:rsid w:val="45AB0A76"/>
    <w:rsid w:val="45B44292"/>
    <w:rsid w:val="45BD6059"/>
    <w:rsid w:val="45EB3538"/>
    <w:rsid w:val="46440499"/>
    <w:rsid w:val="46731A57"/>
    <w:rsid w:val="46771AC0"/>
    <w:rsid w:val="46A2710E"/>
    <w:rsid w:val="47347438"/>
    <w:rsid w:val="47867C8A"/>
    <w:rsid w:val="479B001B"/>
    <w:rsid w:val="47D21CE6"/>
    <w:rsid w:val="47E6470C"/>
    <w:rsid w:val="486274F2"/>
    <w:rsid w:val="48876507"/>
    <w:rsid w:val="48A14890"/>
    <w:rsid w:val="48BB31F4"/>
    <w:rsid w:val="48BD0CBA"/>
    <w:rsid w:val="48F920F7"/>
    <w:rsid w:val="49E669E4"/>
    <w:rsid w:val="4A4C0CEF"/>
    <w:rsid w:val="4A67403B"/>
    <w:rsid w:val="4A734E79"/>
    <w:rsid w:val="4AD27698"/>
    <w:rsid w:val="4B1B114F"/>
    <w:rsid w:val="4B250368"/>
    <w:rsid w:val="4B661B8A"/>
    <w:rsid w:val="4B7F6C9B"/>
    <w:rsid w:val="4B857DCA"/>
    <w:rsid w:val="4BB01238"/>
    <w:rsid w:val="4BD33DBA"/>
    <w:rsid w:val="4C0735DA"/>
    <w:rsid w:val="4C2F1AF1"/>
    <w:rsid w:val="4C3F1A69"/>
    <w:rsid w:val="4C4C7D4D"/>
    <w:rsid w:val="4C692E82"/>
    <w:rsid w:val="4C9B795E"/>
    <w:rsid w:val="4CA216B0"/>
    <w:rsid w:val="4CA7336B"/>
    <w:rsid w:val="4CEF795D"/>
    <w:rsid w:val="4D001539"/>
    <w:rsid w:val="4D060FF1"/>
    <w:rsid w:val="4D714797"/>
    <w:rsid w:val="4D9F0EEA"/>
    <w:rsid w:val="4DA60964"/>
    <w:rsid w:val="4DE568CE"/>
    <w:rsid w:val="4E233D62"/>
    <w:rsid w:val="4E3C703C"/>
    <w:rsid w:val="4E6954B3"/>
    <w:rsid w:val="4F095D32"/>
    <w:rsid w:val="4F1A4882"/>
    <w:rsid w:val="4F1A4CBA"/>
    <w:rsid w:val="4F3C4DEC"/>
    <w:rsid w:val="4F754A92"/>
    <w:rsid w:val="4F7C5051"/>
    <w:rsid w:val="4FB23A3D"/>
    <w:rsid w:val="4FDB2778"/>
    <w:rsid w:val="504900D3"/>
    <w:rsid w:val="50A60D9F"/>
    <w:rsid w:val="50AF5D81"/>
    <w:rsid w:val="50D93489"/>
    <w:rsid w:val="50EA2B95"/>
    <w:rsid w:val="513514A8"/>
    <w:rsid w:val="516620A8"/>
    <w:rsid w:val="5175589A"/>
    <w:rsid w:val="51B80C66"/>
    <w:rsid w:val="51FD2721"/>
    <w:rsid w:val="52892F5B"/>
    <w:rsid w:val="52C06F7E"/>
    <w:rsid w:val="52F61709"/>
    <w:rsid w:val="53CF4A5C"/>
    <w:rsid w:val="54073585"/>
    <w:rsid w:val="543453A5"/>
    <w:rsid w:val="54D275F5"/>
    <w:rsid w:val="54DB7C79"/>
    <w:rsid w:val="54E74E26"/>
    <w:rsid w:val="54EF499E"/>
    <w:rsid w:val="55580A4D"/>
    <w:rsid w:val="55756D67"/>
    <w:rsid w:val="557D4CA8"/>
    <w:rsid w:val="55935298"/>
    <w:rsid w:val="55A43862"/>
    <w:rsid w:val="55B45B96"/>
    <w:rsid w:val="55DC1770"/>
    <w:rsid w:val="55EB22AC"/>
    <w:rsid w:val="55FC2782"/>
    <w:rsid w:val="561133F2"/>
    <w:rsid w:val="56401CD5"/>
    <w:rsid w:val="564D4072"/>
    <w:rsid w:val="56571FFA"/>
    <w:rsid w:val="56812038"/>
    <w:rsid w:val="56A92CC7"/>
    <w:rsid w:val="56D204E6"/>
    <w:rsid w:val="56FF52A9"/>
    <w:rsid w:val="57627250"/>
    <w:rsid w:val="5772766D"/>
    <w:rsid w:val="57874821"/>
    <w:rsid w:val="581D5AED"/>
    <w:rsid w:val="58346B6C"/>
    <w:rsid w:val="586D09FC"/>
    <w:rsid w:val="589B776F"/>
    <w:rsid w:val="58BD10F2"/>
    <w:rsid w:val="58CD33C2"/>
    <w:rsid w:val="596469D4"/>
    <w:rsid w:val="59BD375F"/>
    <w:rsid w:val="59C77733"/>
    <w:rsid w:val="59CE22C7"/>
    <w:rsid w:val="5A435D8A"/>
    <w:rsid w:val="5A6A618A"/>
    <w:rsid w:val="5AA87252"/>
    <w:rsid w:val="5AED1980"/>
    <w:rsid w:val="5AF4588D"/>
    <w:rsid w:val="5AF84F02"/>
    <w:rsid w:val="5BBC1D09"/>
    <w:rsid w:val="5C34380B"/>
    <w:rsid w:val="5C402052"/>
    <w:rsid w:val="5C441E45"/>
    <w:rsid w:val="5CA6278E"/>
    <w:rsid w:val="5CBA4C19"/>
    <w:rsid w:val="5D8C2B4C"/>
    <w:rsid w:val="5D8D6451"/>
    <w:rsid w:val="5DD768A4"/>
    <w:rsid w:val="5DFB460D"/>
    <w:rsid w:val="5E402B64"/>
    <w:rsid w:val="5E94654C"/>
    <w:rsid w:val="5EAC3900"/>
    <w:rsid w:val="5F001951"/>
    <w:rsid w:val="5F385194"/>
    <w:rsid w:val="5F912AC4"/>
    <w:rsid w:val="5FD14724"/>
    <w:rsid w:val="5FE40856"/>
    <w:rsid w:val="5FEE4CF7"/>
    <w:rsid w:val="600C4824"/>
    <w:rsid w:val="60153D3C"/>
    <w:rsid w:val="60700F30"/>
    <w:rsid w:val="607B7DDA"/>
    <w:rsid w:val="60E87B88"/>
    <w:rsid w:val="60F36AC5"/>
    <w:rsid w:val="61647CC1"/>
    <w:rsid w:val="61A76748"/>
    <w:rsid w:val="61B56F70"/>
    <w:rsid w:val="61D91A2E"/>
    <w:rsid w:val="62900431"/>
    <w:rsid w:val="62B731FE"/>
    <w:rsid w:val="63023C80"/>
    <w:rsid w:val="63685D38"/>
    <w:rsid w:val="636D3AA1"/>
    <w:rsid w:val="63C27722"/>
    <w:rsid w:val="63D021E6"/>
    <w:rsid w:val="63D81A7D"/>
    <w:rsid w:val="63FC2C34"/>
    <w:rsid w:val="63FF2864"/>
    <w:rsid w:val="64F22548"/>
    <w:rsid w:val="65033676"/>
    <w:rsid w:val="651A36E6"/>
    <w:rsid w:val="653D1756"/>
    <w:rsid w:val="65442BCD"/>
    <w:rsid w:val="65610558"/>
    <w:rsid w:val="659106E2"/>
    <w:rsid w:val="659C46CE"/>
    <w:rsid w:val="65AB236D"/>
    <w:rsid w:val="65B8080F"/>
    <w:rsid w:val="65E240AB"/>
    <w:rsid w:val="66032238"/>
    <w:rsid w:val="660D28B9"/>
    <w:rsid w:val="662276B1"/>
    <w:rsid w:val="66483EC5"/>
    <w:rsid w:val="664D7777"/>
    <w:rsid w:val="6663343E"/>
    <w:rsid w:val="66704DB4"/>
    <w:rsid w:val="66847466"/>
    <w:rsid w:val="66A04F95"/>
    <w:rsid w:val="66B26720"/>
    <w:rsid w:val="66EC54BE"/>
    <w:rsid w:val="67102453"/>
    <w:rsid w:val="67314E6D"/>
    <w:rsid w:val="6734799D"/>
    <w:rsid w:val="686C2F70"/>
    <w:rsid w:val="688713F9"/>
    <w:rsid w:val="68A67F29"/>
    <w:rsid w:val="68C15CCA"/>
    <w:rsid w:val="68F62689"/>
    <w:rsid w:val="69350DCE"/>
    <w:rsid w:val="697D619C"/>
    <w:rsid w:val="697E5CFD"/>
    <w:rsid w:val="69852CC0"/>
    <w:rsid w:val="69A56830"/>
    <w:rsid w:val="69EE3D79"/>
    <w:rsid w:val="6A0E091D"/>
    <w:rsid w:val="6A5F3F1C"/>
    <w:rsid w:val="6A6B3457"/>
    <w:rsid w:val="6ABA50AD"/>
    <w:rsid w:val="6ABC175A"/>
    <w:rsid w:val="6B006918"/>
    <w:rsid w:val="6B03164D"/>
    <w:rsid w:val="6B58725B"/>
    <w:rsid w:val="6B712159"/>
    <w:rsid w:val="6BA94127"/>
    <w:rsid w:val="6BFE46EA"/>
    <w:rsid w:val="6C2A7882"/>
    <w:rsid w:val="6C7F53F2"/>
    <w:rsid w:val="6C8B20CC"/>
    <w:rsid w:val="6C8E65EE"/>
    <w:rsid w:val="6D464356"/>
    <w:rsid w:val="6D616AB2"/>
    <w:rsid w:val="6DD54955"/>
    <w:rsid w:val="6EB55217"/>
    <w:rsid w:val="6EB71B5D"/>
    <w:rsid w:val="6F447A17"/>
    <w:rsid w:val="6F4D6A39"/>
    <w:rsid w:val="6F773253"/>
    <w:rsid w:val="6F845011"/>
    <w:rsid w:val="704217E5"/>
    <w:rsid w:val="7069571E"/>
    <w:rsid w:val="7076354C"/>
    <w:rsid w:val="707E56F3"/>
    <w:rsid w:val="70E7115A"/>
    <w:rsid w:val="70EB475C"/>
    <w:rsid w:val="70F6444B"/>
    <w:rsid w:val="71152000"/>
    <w:rsid w:val="713168BA"/>
    <w:rsid w:val="718B3849"/>
    <w:rsid w:val="71C31235"/>
    <w:rsid w:val="71C63B51"/>
    <w:rsid w:val="72033058"/>
    <w:rsid w:val="721756F7"/>
    <w:rsid w:val="7231680E"/>
    <w:rsid w:val="72BD5AD1"/>
    <w:rsid w:val="72C87BB3"/>
    <w:rsid w:val="72CD5306"/>
    <w:rsid w:val="72FD54F4"/>
    <w:rsid w:val="73571C35"/>
    <w:rsid w:val="735D0750"/>
    <w:rsid w:val="73A40AD9"/>
    <w:rsid w:val="73BC3875"/>
    <w:rsid w:val="73DD4830"/>
    <w:rsid w:val="73EC3A84"/>
    <w:rsid w:val="74296CC7"/>
    <w:rsid w:val="745D4D21"/>
    <w:rsid w:val="74A964C0"/>
    <w:rsid w:val="752F342A"/>
    <w:rsid w:val="75992388"/>
    <w:rsid w:val="75C509F0"/>
    <w:rsid w:val="766908F5"/>
    <w:rsid w:val="76A51BA6"/>
    <w:rsid w:val="76CB6D18"/>
    <w:rsid w:val="76ED37EF"/>
    <w:rsid w:val="76F53C3E"/>
    <w:rsid w:val="76F74D9E"/>
    <w:rsid w:val="770F21D1"/>
    <w:rsid w:val="773E3ACA"/>
    <w:rsid w:val="77BF7315"/>
    <w:rsid w:val="78532959"/>
    <w:rsid w:val="78A7019A"/>
    <w:rsid w:val="78C003BE"/>
    <w:rsid w:val="78DF6F7C"/>
    <w:rsid w:val="790A6E9A"/>
    <w:rsid w:val="791870B6"/>
    <w:rsid w:val="796D5B63"/>
    <w:rsid w:val="798D055E"/>
    <w:rsid w:val="79B2097F"/>
    <w:rsid w:val="79BA3B0E"/>
    <w:rsid w:val="7A287679"/>
    <w:rsid w:val="7A4F18B8"/>
    <w:rsid w:val="7A501F3D"/>
    <w:rsid w:val="7ABB6962"/>
    <w:rsid w:val="7ADA1461"/>
    <w:rsid w:val="7AF4539C"/>
    <w:rsid w:val="7B7D7BC3"/>
    <w:rsid w:val="7BBFE36C"/>
    <w:rsid w:val="7BF53FF0"/>
    <w:rsid w:val="7C013D85"/>
    <w:rsid w:val="7C662C4B"/>
    <w:rsid w:val="7CAE0241"/>
    <w:rsid w:val="7CB32C8C"/>
    <w:rsid w:val="7CC727D5"/>
    <w:rsid w:val="7CCC3693"/>
    <w:rsid w:val="7CF14EA8"/>
    <w:rsid w:val="7D241628"/>
    <w:rsid w:val="7D497A10"/>
    <w:rsid w:val="7D733ECF"/>
    <w:rsid w:val="7DB40A20"/>
    <w:rsid w:val="7DC2451F"/>
    <w:rsid w:val="7DE7143A"/>
    <w:rsid w:val="7DE9166F"/>
    <w:rsid w:val="7E136A50"/>
    <w:rsid w:val="7E330D30"/>
    <w:rsid w:val="7E49765A"/>
    <w:rsid w:val="7E4C0FEB"/>
    <w:rsid w:val="7E505BFE"/>
    <w:rsid w:val="7E6F624D"/>
    <w:rsid w:val="7EA857C5"/>
    <w:rsid w:val="7EBE0C5A"/>
    <w:rsid w:val="7EFB3C47"/>
    <w:rsid w:val="7F5206C1"/>
    <w:rsid w:val="7F5C0A06"/>
    <w:rsid w:val="7F6271D2"/>
    <w:rsid w:val="7F717BD4"/>
    <w:rsid w:val="7F743B6E"/>
    <w:rsid w:val="7F850ECB"/>
    <w:rsid w:val="7F9E2999"/>
    <w:rsid w:val="7FAA2F0C"/>
    <w:rsid w:val="7FD36AE7"/>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autoRedefine/>
    <w:qFormat/>
    <w:uiPriority w:val="0"/>
    <w:pPr>
      <w:keepNext/>
      <w:outlineLvl w:val="0"/>
    </w:pPr>
    <w:rPr>
      <w:sz w:val="28"/>
      <w:szCs w:val="24"/>
    </w:rPr>
  </w:style>
  <w:style w:type="paragraph" w:styleId="4">
    <w:name w:val="heading 2"/>
    <w:basedOn w:val="1"/>
    <w:next w:val="1"/>
    <w:link w:val="113"/>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9"/>
    <w:autoRedefine/>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0"/>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7">
    <w:name w:val="toc 7"/>
    <w:basedOn w:val="1"/>
    <w:next w:val="1"/>
    <w:autoRedefine/>
    <w:qFormat/>
    <w:uiPriority w:val="0"/>
    <w:pPr>
      <w:ind w:left="2520" w:leftChars="1200"/>
    </w:pPr>
  </w:style>
  <w:style w:type="paragraph" w:styleId="8">
    <w:name w:val="Document Map"/>
    <w:basedOn w:val="1"/>
    <w:link w:val="84"/>
    <w:autoRedefine/>
    <w:qFormat/>
    <w:uiPriority w:val="0"/>
    <w:pPr>
      <w:shd w:val="clear" w:color="auto" w:fill="000080"/>
    </w:pPr>
  </w:style>
  <w:style w:type="paragraph" w:styleId="9">
    <w:name w:val="annotation text"/>
    <w:basedOn w:val="1"/>
    <w:link w:val="78"/>
    <w:autoRedefine/>
    <w:semiHidden/>
    <w:qFormat/>
    <w:uiPriority w:val="99"/>
    <w:pPr>
      <w:jc w:val="left"/>
    </w:pPr>
  </w:style>
  <w:style w:type="paragraph" w:styleId="10">
    <w:name w:val="Body Text 3"/>
    <w:basedOn w:val="1"/>
    <w:link w:val="98"/>
    <w:autoRedefine/>
    <w:unhideWhenUsed/>
    <w:qFormat/>
    <w:uiPriority w:val="99"/>
    <w:pPr>
      <w:spacing w:after="120"/>
    </w:pPr>
    <w:rPr>
      <w:rFonts w:ascii="Calibri" w:hAnsi="Calibri"/>
      <w:sz w:val="16"/>
      <w:szCs w:val="16"/>
      <w:lang w:val="zh-CN"/>
    </w:rPr>
  </w:style>
  <w:style w:type="paragraph" w:styleId="11">
    <w:name w:val="Body Text"/>
    <w:basedOn w:val="1"/>
    <w:next w:val="1"/>
    <w:link w:val="73"/>
    <w:autoRedefine/>
    <w:qFormat/>
    <w:uiPriority w:val="0"/>
    <w:pPr>
      <w:spacing w:after="120"/>
    </w:pPr>
    <w:rPr>
      <w:szCs w:val="24"/>
    </w:rPr>
  </w:style>
  <w:style w:type="paragraph" w:styleId="12">
    <w:name w:val="Body Text Indent"/>
    <w:basedOn w:val="1"/>
    <w:next w:val="13"/>
    <w:link w:val="62"/>
    <w:autoRedefine/>
    <w:qFormat/>
    <w:uiPriority w:val="0"/>
    <w:pPr>
      <w:ind w:firstLine="540"/>
    </w:pPr>
    <w:rPr>
      <w:rFonts w:eastAsia="仿宋_GB2312"/>
      <w:sz w:val="28"/>
    </w:rPr>
  </w:style>
  <w:style w:type="paragraph" w:styleId="13">
    <w:name w:val="envelope return"/>
    <w:basedOn w:val="1"/>
    <w:autoRedefine/>
    <w:unhideWhenUsed/>
    <w:qFormat/>
    <w:uiPriority w:val="99"/>
    <w:pPr>
      <w:snapToGrid w:val="0"/>
      <w:spacing w:line="360" w:lineRule="auto"/>
    </w:pPr>
    <w:rPr>
      <w:rFonts w:ascii="Arial" w:hAnsi="Arial" w:cs="Arial"/>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81"/>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61"/>
    <w:autoRedefine/>
    <w:qFormat/>
    <w:uiPriority w:val="0"/>
    <w:rPr>
      <w:rFonts w:ascii="Arial" w:hAnsi="Arial" w:eastAsia="楷体_GB2312"/>
      <w:sz w:val="28"/>
    </w:rPr>
  </w:style>
  <w:style w:type="paragraph" w:styleId="19">
    <w:name w:val="Body Text Indent 2"/>
    <w:basedOn w:val="1"/>
    <w:link w:val="64"/>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75"/>
    <w:autoRedefine/>
    <w:qFormat/>
    <w:uiPriority w:val="0"/>
    <w:rPr>
      <w:sz w:val="18"/>
      <w:szCs w:val="18"/>
    </w:rPr>
  </w:style>
  <w:style w:type="paragraph" w:styleId="21">
    <w:name w:val="footer"/>
    <w:basedOn w:val="1"/>
    <w:link w:val="56"/>
    <w:autoRedefine/>
    <w:unhideWhenUsed/>
    <w:qFormat/>
    <w:uiPriority w:val="99"/>
    <w:pPr>
      <w:tabs>
        <w:tab w:val="center" w:pos="4153"/>
        <w:tab w:val="right" w:pos="8306"/>
      </w:tabs>
      <w:snapToGrid w:val="0"/>
      <w:jc w:val="left"/>
    </w:pPr>
    <w:rPr>
      <w:sz w:val="18"/>
      <w:szCs w:val="18"/>
    </w:rPr>
  </w:style>
  <w:style w:type="paragraph" w:styleId="22">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toc 6"/>
    <w:basedOn w:val="1"/>
    <w:next w:val="1"/>
    <w:autoRedefine/>
    <w:qFormat/>
    <w:uiPriority w:val="0"/>
    <w:pPr>
      <w:ind w:left="2100" w:leftChars="1000"/>
    </w:pPr>
  </w:style>
  <w:style w:type="paragraph" w:styleId="26">
    <w:name w:val="Body Text Indent 3"/>
    <w:basedOn w:val="1"/>
    <w:link w:val="70"/>
    <w:autoRedefine/>
    <w:qFormat/>
    <w:uiPriority w:val="0"/>
    <w:pPr>
      <w:ind w:left="178" w:leftChars="85" w:firstLine="560" w:firstLineChars="200"/>
    </w:pPr>
    <w:rPr>
      <w:rFonts w:ascii="仿宋_GB2312" w:hAnsi="Arial" w:eastAsia="仿宋_GB2312"/>
      <w:sz w:val="28"/>
      <w:szCs w:val="24"/>
    </w:rPr>
  </w:style>
  <w:style w:type="paragraph" w:styleId="27">
    <w:name w:val="toc 2"/>
    <w:basedOn w:val="1"/>
    <w:next w:val="1"/>
    <w:autoRedefine/>
    <w:qFormat/>
    <w:uiPriority w:val="39"/>
    <w:pPr>
      <w:ind w:left="420" w:leftChars="200"/>
    </w:pPr>
  </w:style>
  <w:style w:type="paragraph" w:styleId="28">
    <w:name w:val="toc 9"/>
    <w:basedOn w:val="1"/>
    <w:next w:val="1"/>
    <w:autoRedefine/>
    <w:qFormat/>
    <w:uiPriority w:val="0"/>
    <w:pPr>
      <w:ind w:left="3360" w:leftChars="1600"/>
    </w:pPr>
  </w:style>
  <w:style w:type="paragraph" w:styleId="2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unhideWhenUsed/>
    <w:qFormat/>
    <w:uiPriority w:val="99"/>
    <w:pPr>
      <w:jc w:val="left"/>
    </w:pPr>
    <w:rPr>
      <w:kern w:val="0"/>
      <w:sz w:val="24"/>
    </w:rPr>
  </w:style>
  <w:style w:type="paragraph" w:styleId="31">
    <w:name w:val="index 1"/>
    <w:basedOn w:val="1"/>
    <w:next w:val="1"/>
    <w:autoRedefine/>
    <w:semiHidden/>
    <w:qFormat/>
    <w:uiPriority w:val="0"/>
    <w:pPr>
      <w:jc w:val="center"/>
    </w:pPr>
    <w:rPr>
      <w:rFonts w:ascii="仿宋_GB2312" w:eastAsia="仿宋_GB2312"/>
      <w:b/>
      <w:bCs/>
      <w:sz w:val="28"/>
    </w:rPr>
  </w:style>
  <w:style w:type="paragraph" w:styleId="32">
    <w:name w:val="annotation subject"/>
    <w:basedOn w:val="9"/>
    <w:next w:val="9"/>
    <w:link w:val="79"/>
    <w:autoRedefine/>
    <w:semiHidden/>
    <w:qFormat/>
    <w:uiPriority w:val="99"/>
    <w:rPr>
      <w:b/>
      <w:bCs/>
    </w:rPr>
  </w:style>
  <w:style w:type="paragraph" w:styleId="33">
    <w:name w:val="Body Text First Indent"/>
    <w:basedOn w:val="11"/>
    <w:next w:val="25"/>
    <w:autoRedefine/>
    <w:unhideWhenUsed/>
    <w:qFormat/>
    <w:uiPriority w:val="99"/>
    <w:pPr>
      <w:spacing w:line="400" w:lineRule="atLeast"/>
      <w:ind w:firstLine="426"/>
    </w:pPr>
    <w:rPr>
      <w:sz w:val="24"/>
      <w:szCs w:val="20"/>
    </w:rPr>
  </w:style>
  <w:style w:type="paragraph" w:styleId="34">
    <w:name w:val="Body Text First Indent 2"/>
    <w:basedOn w:val="12"/>
    <w:next w:val="1"/>
    <w:autoRedefine/>
    <w:qFormat/>
    <w:uiPriority w:val="0"/>
    <w:pPr>
      <w:spacing w:line="360" w:lineRule="auto"/>
      <w:jc w:val="left"/>
    </w:pPr>
    <w:rPr>
      <w:rFonts w:cs="宋体"/>
      <w:sz w:val="28"/>
      <w:szCs w:val="28"/>
    </w:r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954F72" w:themeColor="followedHyperlink"/>
      <w:u w:val="single"/>
      <w14:textFill>
        <w14:solidFill>
          <w14:schemeClr w14:val="folHlink"/>
        </w14:solidFill>
      </w14:textFill>
    </w:rPr>
  </w:style>
  <w:style w:type="character" w:styleId="41">
    <w:name w:val="HTML Definition"/>
    <w:basedOn w:val="37"/>
    <w:autoRedefine/>
    <w:semiHidden/>
    <w:unhideWhenUsed/>
    <w:qFormat/>
    <w:uiPriority w:val="99"/>
  </w:style>
  <w:style w:type="character" w:styleId="42">
    <w:name w:val="HTML Typewriter"/>
    <w:basedOn w:val="37"/>
    <w:autoRedefine/>
    <w:semiHidden/>
    <w:unhideWhenUsed/>
    <w:qFormat/>
    <w:uiPriority w:val="99"/>
    <w:rPr>
      <w:rFonts w:hint="default" w:ascii="monospace" w:hAnsi="monospace" w:eastAsia="monospace" w:cs="monospace"/>
      <w:sz w:val="20"/>
    </w:rPr>
  </w:style>
  <w:style w:type="character" w:styleId="43">
    <w:name w:val="HTML Acronym"/>
    <w:basedOn w:val="37"/>
    <w:autoRedefine/>
    <w:semiHidden/>
    <w:unhideWhenUsed/>
    <w:qFormat/>
    <w:uiPriority w:val="99"/>
  </w:style>
  <w:style w:type="character" w:styleId="44">
    <w:name w:val="HTML Variable"/>
    <w:basedOn w:val="37"/>
    <w:autoRedefine/>
    <w:semiHidden/>
    <w:unhideWhenUsed/>
    <w:qFormat/>
    <w:uiPriority w:val="99"/>
  </w:style>
  <w:style w:type="character" w:styleId="45">
    <w:name w:val="Hyperlink"/>
    <w:basedOn w:val="37"/>
    <w:autoRedefine/>
    <w:qFormat/>
    <w:uiPriority w:val="99"/>
    <w:rPr>
      <w:color w:val="333333"/>
      <w:u w:val="none"/>
    </w:rPr>
  </w:style>
  <w:style w:type="character" w:styleId="46">
    <w:name w:val="HTML Code"/>
    <w:basedOn w:val="37"/>
    <w:autoRedefine/>
    <w:semiHidden/>
    <w:unhideWhenUsed/>
    <w:qFormat/>
    <w:uiPriority w:val="99"/>
    <w:rPr>
      <w:rFonts w:hint="default" w:ascii="monospace" w:hAnsi="monospace" w:eastAsia="monospace" w:cs="monospace"/>
      <w:sz w:val="20"/>
    </w:rPr>
  </w:style>
  <w:style w:type="character" w:styleId="47">
    <w:name w:val="annotation reference"/>
    <w:autoRedefine/>
    <w:semiHidden/>
    <w:qFormat/>
    <w:uiPriority w:val="99"/>
    <w:rPr>
      <w:sz w:val="21"/>
      <w:szCs w:val="21"/>
    </w:rPr>
  </w:style>
  <w:style w:type="character" w:styleId="48">
    <w:name w:val="HTML Cite"/>
    <w:basedOn w:val="37"/>
    <w:autoRedefine/>
    <w:semiHidden/>
    <w:unhideWhenUsed/>
    <w:qFormat/>
    <w:uiPriority w:val="99"/>
  </w:style>
  <w:style w:type="character" w:styleId="49">
    <w:name w:val="HTML Keyboard"/>
    <w:basedOn w:val="37"/>
    <w:autoRedefine/>
    <w:semiHidden/>
    <w:unhideWhenUsed/>
    <w:qFormat/>
    <w:uiPriority w:val="99"/>
    <w:rPr>
      <w:rFonts w:ascii="monospace" w:hAnsi="monospace" w:eastAsia="monospace" w:cs="monospace"/>
      <w:sz w:val="20"/>
    </w:rPr>
  </w:style>
  <w:style w:type="character" w:styleId="50">
    <w:name w:val="HTML Sample"/>
    <w:basedOn w:val="37"/>
    <w:autoRedefine/>
    <w:semiHidden/>
    <w:unhideWhenUsed/>
    <w:qFormat/>
    <w:uiPriority w:val="99"/>
    <w:rPr>
      <w:rFonts w:hint="default" w:ascii="monospace" w:hAnsi="monospace" w:eastAsia="monospace" w:cs="monospace"/>
    </w:rPr>
  </w:style>
  <w:style w:type="paragraph" w:customStyle="1" w:styleId="51">
    <w:name w:val="style4"/>
    <w:basedOn w:val="1"/>
    <w:next w:val="52"/>
    <w:autoRedefine/>
    <w:qFormat/>
    <w:uiPriority w:val="0"/>
    <w:pPr>
      <w:widowControl/>
      <w:spacing w:before="280" w:after="280"/>
    </w:pPr>
    <w:rPr>
      <w:rFonts w:ascii="宋体"/>
      <w:sz w:val="18"/>
    </w:rPr>
  </w:style>
  <w:style w:type="paragraph" w:customStyle="1" w:styleId="5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3">
    <w:name w:val="列出段落1"/>
    <w:basedOn w:val="1"/>
    <w:autoRedefine/>
    <w:qFormat/>
    <w:uiPriority w:val="0"/>
    <w:pPr>
      <w:ind w:firstLine="420" w:firstLineChars="200"/>
    </w:pPr>
    <w:rPr>
      <w:rFonts w:ascii="Calibri" w:hAnsi="Calibri"/>
      <w:szCs w:val="22"/>
    </w:rPr>
  </w:style>
  <w:style w:type="paragraph" w:customStyle="1" w:styleId="54">
    <w:name w:val="目录 71"/>
    <w:basedOn w:val="1"/>
    <w:next w:val="1"/>
    <w:autoRedefine/>
    <w:qFormat/>
    <w:uiPriority w:val="0"/>
    <w:pPr>
      <w:ind w:left="2520"/>
    </w:pPr>
    <w:rPr>
      <w:rFonts w:ascii="Calibri"/>
    </w:rPr>
  </w:style>
  <w:style w:type="character" w:customStyle="1" w:styleId="55">
    <w:name w:val="页眉 字符"/>
    <w:basedOn w:val="37"/>
    <w:link w:val="22"/>
    <w:autoRedefine/>
    <w:qFormat/>
    <w:uiPriority w:val="0"/>
    <w:rPr>
      <w:sz w:val="18"/>
      <w:szCs w:val="18"/>
    </w:rPr>
  </w:style>
  <w:style w:type="character" w:customStyle="1" w:styleId="56">
    <w:name w:val="页脚 字符"/>
    <w:basedOn w:val="37"/>
    <w:link w:val="21"/>
    <w:autoRedefine/>
    <w:qFormat/>
    <w:uiPriority w:val="0"/>
    <w:rPr>
      <w:sz w:val="18"/>
      <w:szCs w:val="18"/>
    </w:rPr>
  </w:style>
  <w:style w:type="character" w:customStyle="1" w:styleId="57">
    <w:name w:val="标题 1 字符"/>
    <w:basedOn w:val="37"/>
    <w:link w:val="3"/>
    <w:autoRedefine/>
    <w:qFormat/>
    <w:uiPriority w:val="0"/>
    <w:rPr>
      <w:rFonts w:ascii="Times New Roman" w:hAnsi="Times New Roman" w:eastAsia="宋体" w:cs="Times New Roman"/>
      <w:sz w:val="28"/>
      <w:szCs w:val="24"/>
    </w:rPr>
  </w:style>
  <w:style w:type="character" w:customStyle="1" w:styleId="58">
    <w:name w:val="标题 2 Char"/>
    <w:basedOn w:val="37"/>
    <w:autoRedefine/>
    <w:qFormat/>
    <w:uiPriority w:val="0"/>
    <w:rPr>
      <w:rFonts w:ascii="Arial" w:hAnsi="Arial" w:eastAsia="黑体" w:cs="Times New Roman"/>
      <w:b/>
      <w:kern w:val="0"/>
      <w:sz w:val="32"/>
      <w:szCs w:val="20"/>
    </w:rPr>
  </w:style>
  <w:style w:type="character" w:customStyle="1" w:styleId="59">
    <w:name w:val="标题 3 字符"/>
    <w:basedOn w:val="37"/>
    <w:link w:val="5"/>
    <w:autoRedefine/>
    <w:qFormat/>
    <w:uiPriority w:val="0"/>
    <w:rPr>
      <w:rFonts w:ascii="Times New Roman" w:hAnsi="Times New Roman" w:eastAsia="宋体" w:cs="Times New Roman"/>
      <w:b/>
      <w:bCs/>
      <w:sz w:val="32"/>
      <w:szCs w:val="32"/>
      <w:lang w:val="zh-CN" w:eastAsia="zh-CN"/>
    </w:rPr>
  </w:style>
  <w:style w:type="character" w:customStyle="1" w:styleId="60">
    <w:name w:val="标题 4 字符"/>
    <w:basedOn w:val="37"/>
    <w:link w:val="6"/>
    <w:autoRedefine/>
    <w:qFormat/>
    <w:uiPriority w:val="0"/>
    <w:rPr>
      <w:rFonts w:ascii="Arial" w:hAnsi="Arial" w:eastAsia="黑体" w:cs="Times New Roman"/>
      <w:b/>
      <w:kern w:val="0"/>
      <w:sz w:val="28"/>
      <w:szCs w:val="20"/>
    </w:rPr>
  </w:style>
  <w:style w:type="character" w:customStyle="1" w:styleId="61">
    <w:name w:val="日期 字符"/>
    <w:basedOn w:val="37"/>
    <w:link w:val="18"/>
    <w:autoRedefine/>
    <w:qFormat/>
    <w:uiPriority w:val="0"/>
    <w:rPr>
      <w:rFonts w:ascii="Arial" w:hAnsi="Arial" w:eastAsia="楷体_GB2312" w:cs="Times New Roman"/>
      <w:sz w:val="28"/>
      <w:szCs w:val="20"/>
    </w:rPr>
  </w:style>
  <w:style w:type="character" w:customStyle="1" w:styleId="62">
    <w:name w:val="正文文本缩进 字符"/>
    <w:basedOn w:val="37"/>
    <w:link w:val="12"/>
    <w:autoRedefine/>
    <w:qFormat/>
    <w:uiPriority w:val="0"/>
    <w:rPr>
      <w:rFonts w:ascii="Times New Roman" w:hAnsi="Times New Roman" w:eastAsia="仿宋_GB2312" w:cs="Times New Roman"/>
      <w:sz w:val="28"/>
      <w:szCs w:val="20"/>
    </w:rPr>
  </w:style>
  <w:style w:type="paragraph" w:customStyle="1" w:styleId="63">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4">
    <w:name w:val="正文文本缩进 2 字符"/>
    <w:basedOn w:val="37"/>
    <w:link w:val="19"/>
    <w:autoRedefine/>
    <w:qFormat/>
    <w:uiPriority w:val="0"/>
    <w:rPr>
      <w:rFonts w:ascii="Times New Roman" w:hAnsi="Times New Roman" w:eastAsia="仿宋_GB2312" w:cs="Times New Roman"/>
      <w:sz w:val="28"/>
      <w:szCs w:val="20"/>
    </w:rPr>
  </w:style>
  <w:style w:type="paragraph" w:customStyle="1" w:styleId="65">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6">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7">
    <w:name w:val="样式 标题 2 + 宋体 五号 行距: 单倍行距"/>
    <w:basedOn w:val="4"/>
    <w:autoRedefine/>
    <w:qFormat/>
    <w:uiPriority w:val="0"/>
    <w:pPr>
      <w:spacing w:line="240" w:lineRule="auto"/>
    </w:pPr>
    <w:rPr>
      <w:rFonts w:ascii="宋体" w:hAnsi="宋体" w:eastAsia="宋体"/>
      <w:sz w:val="21"/>
    </w:rPr>
  </w:style>
  <w:style w:type="paragraph" w:customStyle="1" w:styleId="68">
    <w:name w:val="Char Char Char Char Char"/>
    <w:basedOn w:val="1"/>
    <w:autoRedefine/>
    <w:qFormat/>
    <w:uiPriority w:val="0"/>
    <w:rPr>
      <w:rFonts w:ascii="Tahoma" w:hAnsi="Tahoma"/>
      <w:sz w:val="24"/>
    </w:rPr>
  </w:style>
  <w:style w:type="paragraph" w:customStyle="1" w:styleId="69">
    <w:name w:val="Char"/>
    <w:basedOn w:val="1"/>
    <w:autoRedefine/>
    <w:qFormat/>
    <w:uiPriority w:val="0"/>
    <w:rPr>
      <w:rFonts w:ascii="Tahoma" w:hAnsi="Tahoma"/>
      <w:sz w:val="24"/>
    </w:rPr>
  </w:style>
  <w:style w:type="character" w:customStyle="1" w:styleId="70">
    <w:name w:val="正文文本缩进 3 字符"/>
    <w:basedOn w:val="37"/>
    <w:link w:val="26"/>
    <w:autoRedefine/>
    <w:qFormat/>
    <w:uiPriority w:val="0"/>
    <w:rPr>
      <w:rFonts w:ascii="仿宋_GB2312" w:hAnsi="Arial" w:eastAsia="仿宋_GB2312" w:cs="Times New Roman"/>
      <w:sz w:val="28"/>
      <w:szCs w:val="24"/>
    </w:rPr>
  </w:style>
  <w:style w:type="paragraph" w:customStyle="1" w:styleId="71">
    <w:name w:val="Char1"/>
    <w:basedOn w:val="1"/>
    <w:autoRedefine/>
    <w:qFormat/>
    <w:uiPriority w:val="0"/>
    <w:rPr>
      <w:rFonts w:ascii="Tahoma" w:hAnsi="Tahoma" w:eastAsia="仿宋_GB2312"/>
      <w:sz w:val="24"/>
    </w:rPr>
  </w:style>
  <w:style w:type="paragraph" w:customStyle="1" w:styleId="72">
    <w:name w:val="Char Char Char Char Char Char Char1 Char"/>
    <w:basedOn w:val="1"/>
    <w:autoRedefine/>
    <w:qFormat/>
    <w:uiPriority w:val="0"/>
    <w:rPr>
      <w:rFonts w:ascii="Tahoma" w:hAnsi="Tahoma"/>
      <w:sz w:val="24"/>
    </w:rPr>
  </w:style>
  <w:style w:type="character" w:customStyle="1" w:styleId="73">
    <w:name w:val="正文文本 字符"/>
    <w:basedOn w:val="37"/>
    <w:link w:val="11"/>
    <w:autoRedefine/>
    <w:qFormat/>
    <w:uiPriority w:val="0"/>
    <w:rPr>
      <w:rFonts w:ascii="Times New Roman" w:hAnsi="Times New Roman" w:eastAsia="宋体" w:cs="Times New Roman"/>
      <w:szCs w:val="24"/>
    </w:rPr>
  </w:style>
  <w:style w:type="paragraph" w:customStyle="1" w:styleId="74">
    <w:name w:val="Char Char Char Char"/>
    <w:basedOn w:val="1"/>
    <w:next w:val="1"/>
    <w:autoRedefine/>
    <w:qFormat/>
    <w:uiPriority w:val="0"/>
    <w:pPr>
      <w:widowControl/>
      <w:spacing w:line="360" w:lineRule="auto"/>
      <w:jc w:val="left"/>
    </w:pPr>
  </w:style>
  <w:style w:type="character" w:customStyle="1" w:styleId="75">
    <w:name w:val="批注框文本 字符"/>
    <w:basedOn w:val="37"/>
    <w:link w:val="20"/>
    <w:autoRedefine/>
    <w:qFormat/>
    <w:uiPriority w:val="0"/>
    <w:rPr>
      <w:rFonts w:ascii="Times New Roman" w:hAnsi="Times New Roman" w:eastAsia="宋体" w:cs="Times New Roman"/>
      <w:sz w:val="18"/>
      <w:szCs w:val="18"/>
    </w:rPr>
  </w:style>
  <w:style w:type="paragraph" w:customStyle="1" w:styleId="76">
    <w:name w:val="Char Char Char"/>
    <w:basedOn w:val="1"/>
    <w:autoRedefine/>
    <w:qFormat/>
    <w:uiPriority w:val="0"/>
    <w:rPr>
      <w:rFonts w:ascii="Tahoma" w:hAnsi="Tahoma"/>
      <w:sz w:val="24"/>
    </w:rPr>
  </w:style>
  <w:style w:type="paragraph" w:customStyle="1" w:styleId="77">
    <w:name w:val="Char Char Char Char Char Char Char Char Char Char"/>
    <w:basedOn w:val="1"/>
    <w:autoRedefine/>
    <w:qFormat/>
    <w:uiPriority w:val="0"/>
    <w:rPr>
      <w:rFonts w:ascii="Tahoma" w:hAnsi="Tahoma" w:cs="仿宋_GB2312"/>
      <w:sz w:val="24"/>
    </w:rPr>
  </w:style>
  <w:style w:type="character" w:customStyle="1" w:styleId="78">
    <w:name w:val="批注文字 字符"/>
    <w:basedOn w:val="37"/>
    <w:link w:val="9"/>
    <w:autoRedefine/>
    <w:semiHidden/>
    <w:qFormat/>
    <w:uiPriority w:val="99"/>
    <w:rPr>
      <w:rFonts w:ascii="Times New Roman" w:hAnsi="Times New Roman" w:eastAsia="宋体" w:cs="Times New Roman"/>
      <w:szCs w:val="20"/>
    </w:rPr>
  </w:style>
  <w:style w:type="character" w:customStyle="1" w:styleId="79">
    <w:name w:val="批注主题 字符"/>
    <w:basedOn w:val="78"/>
    <w:link w:val="32"/>
    <w:autoRedefine/>
    <w:semiHidden/>
    <w:qFormat/>
    <w:uiPriority w:val="99"/>
    <w:rPr>
      <w:rFonts w:ascii="Times New Roman" w:hAnsi="Times New Roman" w:eastAsia="宋体" w:cs="Times New Roman"/>
      <w:b/>
      <w:bCs/>
      <w:szCs w:val="20"/>
    </w:rPr>
  </w:style>
  <w:style w:type="paragraph" w:customStyle="1" w:styleId="80">
    <w:name w:val="Char Char Char Char Char Char"/>
    <w:basedOn w:val="1"/>
    <w:autoRedefine/>
    <w:qFormat/>
    <w:uiPriority w:val="0"/>
  </w:style>
  <w:style w:type="character" w:customStyle="1" w:styleId="81">
    <w:name w:val="纯文本 字符"/>
    <w:link w:val="16"/>
    <w:autoRedefine/>
    <w:qFormat/>
    <w:uiPriority w:val="0"/>
    <w:rPr>
      <w:rFonts w:ascii="宋体" w:hAnsi="Courier New" w:eastAsia="宋体"/>
    </w:rPr>
  </w:style>
  <w:style w:type="character" w:customStyle="1" w:styleId="82">
    <w:name w:val="纯文本 Char1"/>
    <w:basedOn w:val="37"/>
    <w:autoRedefine/>
    <w:semiHidden/>
    <w:qFormat/>
    <w:uiPriority w:val="99"/>
    <w:rPr>
      <w:rFonts w:ascii="宋体" w:hAnsi="Courier New" w:eastAsia="宋体" w:cs="Courier New"/>
      <w:szCs w:val="21"/>
    </w:rPr>
  </w:style>
  <w:style w:type="paragraph" w:customStyle="1" w:styleId="83">
    <w:name w:val="Char12 Char Char Char"/>
    <w:basedOn w:val="1"/>
    <w:autoRedefine/>
    <w:qFormat/>
    <w:uiPriority w:val="0"/>
  </w:style>
  <w:style w:type="character" w:customStyle="1" w:styleId="84">
    <w:name w:val="文档结构图 字符"/>
    <w:basedOn w:val="37"/>
    <w:link w:val="8"/>
    <w:autoRedefine/>
    <w:qFormat/>
    <w:uiPriority w:val="0"/>
    <w:rPr>
      <w:rFonts w:ascii="Times New Roman" w:hAnsi="Times New Roman" w:eastAsia="宋体" w:cs="Times New Roman"/>
      <w:szCs w:val="20"/>
      <w:shd w:val="clear" w:color="auto" w:fill="000080"/>
    </w:rPr>
  </w:style>
  <w:style w:type="character" w:customStyle="1" w:styleId="85">
    <w:name w:val="style29"/>
    <w:autoRedefine/>
    <w:qFormat/>
    <w:uiPriority w:val="0"/>
  </w:style>
  <w:style w:type="character" w:customStyle="1" w:styleId="86">
    <w:name w:val="正文1"/>
    <w:autoRedefine/>
    <w:qFormat/>
    <w:uiPriority w:val="0"/>
  </w:style>
  <w:style w:type="character" w:customStyle="1" w:styleId="87">
    <w:name w:val="font11"/>
    <w:autoRedefine/>
    <w:qFormat/>
    <w:uiPriority w:val="0"/>
    <w:rPr>
      <w:rFonts w:hint="default" w:ascii="Times New Roman" w:hAnsi="Times New Roman" w:cs="Times New Roman"/>
      <w:color w:val="3366FF"/>
      <w:sz w:val="24"/>
      <w:szCs w:val="24"/>
      <w:u w:val="none"/>
    </w:rPr>
  </w:style>
  <w:style w:type="character" w:customStyle="1" w:styleId="88">
    <w:name w:val="font21"/>
    <w:autoRedefine/>
    <w:qFormat/>
    <w:uiPriority w:val="0"/>
    <w:rPr>
      <w:rFonts w:hint="eastAsia" w:ascii="宋体" w:hAnsi="宋体" w:eastAsia="宋体"/>
      <w:color w:val="3366FF"/>
      <w:sz w:val="24"/>
      <w:szCs w:val="24"/>
      <w:u w:val="none"/>
    </w:rPr>
  </w:style>
  <w:style w:type="paragraph" w:customStyle="1" w:styleId="89">
    <w:name w:val="Char Char15"/>
    <w:basedOn w:val="1"/>
    <w:autoRedefine/>
    <w:qFormat/>
    <w:uiPriority w:val="0"/>
    <w:rPr>
      <w:rFonts w:ascii="Tahoma" w:hAnsi="Tahoma" w:eastAsia="仿宋_GB2312"/>
      <w:sz w:val="24"/>
    </w:rPr>
  </w:style>
  <w:style w:type="paragraph" w:customStyle="1" w:styleId="90">
    <w:name w:val="Char2"/>
    <w:basedOn w:val="1"/>
    <w:autoRedefine/>
    <w:qFormat/>
    <w:uiPriority w:val="0"/>
    <w:pPr>
      <w:tabs>
        <w:tab w:val="left" w:pos="360"/>
      </w:tabs>
    </w:pPr>
    <w:rPr>
      <w:sz w:val="24"/>
      <w:szCs w:val="24"/>
    </w:rPr>
  </w:style>
  <w:style w:type="paragraph" w:customStyle="1" w:styleId="91">
    <w:name w:val="Char16"/>
    <w:basedOn w:val="1"/>
    <w:autoRedefine/>
    <w:qFormat/>
    <w:uiPriority w:val="0"/>
    <w:rPr>
      <w:rFonts w:ascii="Tahoma" w:hAnsi="Tahoma" w:eastAsia="仿宋_GB2312"/>
      <w:sz w:val="24"/>
    </w:rPr>
  </w:style>
  <w:style w:type="paragraph" w:customStyle="1" w:styleId="92">
    <w:name w:val="Char Char1"/>
    <w:basedOn w:val="1"/>
    <w:autoRedefine/>
    <w:qFormat/>
    <w:uiPriority w:val="0"/>
    <w:rPr>
      <w:rFonts w:ascii="Tahoma" w:hAnsi="Tahoma"/>
      <w:sz w:val="24"/>
    </w:rPr>
  </w:style>
  <w:style w:type="paragraph" w:customStyle="1" w:styleId="93">
    <w:name w:val="Char Char Char Char Char Char Char"/>
    <w:basedOn w:val="1"/>
    <w:autoRedefine/>
    <w:qFormat/>
    <w:uiPriority w:val="0"/>
    <w:rPr>
      <w:szCs w:val="24"/>
    </w:rPr>
  </w:style>
  <w:style w:type="paragraph" w:customStyle="1" w:styleId="94">
    <w:name w:val="Char Char"/>
    <w:basedOn w:val="1"/>
    <w:autoRedefine/>
    <w:qFormat/>
    <w:uiPriority w:val="0"/>
    <w:rPr>
      <w:rFonts w:ascii="Tahoma" w:hAnsi="Tahoma" w:cs="仿宋_GB2312"/>
      <w:sz w:val="24"/>
    </w:rPr>
  </w:style>
  <w:style w:type="paragraph" w:customStyle="1" w:styleId="95">
    <w:name w:val="Char Char2"/>
    <w:basedOn w:val="1"/>
    <w:autoRedefine/>
    <w:qFormat/>
    <w:uiPriority w:val="0"/>
    <w:rPr>
      <w:rFonts w:ascii="Tahoma" w:hAnsi="Tahoma" w:cs="仿宋_GB2312"/>
      <w:sz w:val="24"/>
    </w:rPr>
  </w:style>
  <w:style w:type="paragraph" w:customStyle="1" w:styleId="96">
    <w:name w:val="Char Char Char1"/>
    <w:basedOn w:val="1"/>
    <w:autoRedefine/>
    <w:qFormat/>
    <w:uiPriority w:val="0"/>
    <w:rPr>
      <w:rFonts w:ascii="Tahoma" w:hAnsi="Tahoma"/>
      <w:sz w:val="24"/>
    </w:rPr>
  </w:style>
  <w:style w:type="paragraph" w:customStyle="1" w:styleId="97">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8">
    <w:name w:val="正文文本 3 字符"/>
    <w:basedOn w:val="37"/>
    <w:link w:val="10"/>
    <w:autoRedefine/>
    <w:qFormat/>
    <w:uiPriority w:val="99"/>
    <w:rPr>
      <w:rFonts w:ascii="Calibri" w:hAnsi="Calibri" w:eastAsia="宋体" w:cs="Times New Roman"/>
      <w:sz w:val="16"/>
      <w:szCs w:val="16"/>
      <w:lang w:val="zh-CN" w:eastAsia="zh-CN"/>
    </w:rPr>
  </w:style>
  <w:style w:type="paragraph" w:customStyle="1" w:styleId="99">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autoRedefine/>
    <w:qFormat/>
    <w:uiPriority w:val="0"/>
    <w:rPr>
      <w:rFonts w:ascii="Times New Roman" w:hAnsi="Times New Roman" w:eastAsia="宋体"/>
    </w:rPr>
  </w:style>
  <w:style w:type="paragraph" w:customStyle="1" w:styleId="102">
    <w:name w:val="p0"/>
    <w:basedOn w:val="1"/>
    <w:autoRedefine/>
    <w:qFormat/>
    <w:uiPriority w:val="0"/>
    <w:pPr>
      <w:widowControl/>
      <w:jc w:val="left"/>
    </w:pPr>
    <w:rPr>
      <w:rFonts w:ascii="等线" w:hAnsi="等线" w:eastAsia="等线" w:cs="等线"/>
      <w:kern w:val="0"/>
      <w:sz w:val="20"/>
      <w:szCs w:val="22"/>
    </w:rPr>
  </w:style>
  <w:style w:type="paragraph" w:customStyle="1" w:styleId="103">
    <w:name w:val="列表段落1"/>
    <w:basedOn w:val="1"/>
    <w:autoRedefine/>
    <w:qFormat/>
    <w:uiPriority w:val="34"/>
    <w:pPr>
      <w:ind w:firstLine="420" w:firstLineChars="200"/>
    </w:pPr>
    <w:rPr>
      <w:szCs w:val="24"/>
    </w:rPr>
  </w:style>
  <w:style w:type="paragraph" w:customStyle="1" w:styleId="104">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5">
    <w:name w:val="List Paragraph"/>
    <w:basedOn w:val="1"/>
    <w:autoRedefine/>
    <w:qFormat/>
    <w:uiPriority w:val="99"/>
    <w:pPr>
      <w:ind w:firstLine="420" w:firstLineChars="200"/>
    </w:pPr>
  </w:style>
  <w:style w:type="table" w:customStyle="1" w:styleId="10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7">
    <w:name w:val="first-child3"/>
    <w:basedOn w:val="37"/>
    <w:autoRedefine/>
    <w:qFormat/>
    <w:uiPriority w:val="0"/>
  </w:style>
  <w:style w:type="character" w:customStyle="1" w:styleId="108">
    <w:name w:val="layui-this"/>
    <w:basedOn w:val="37"/>
    <w:autoRedefine/>
    <w:qFormat/>
    <w:uiPriority w:val="0"/>
    <w:rPr>
      <w:bdr w:val="single" w:color="EEEEEE" w:sz="4" w:space="0"/>
      <w:shd w:val="clear" w:color="auto" w:fill="FFFFFF"/>
    </w:rPr>
  </w:style>
  <w:style w:type="character" w:customStyle="1" w:styleId="109">
    <w:name w:val="first-child2"/>
    <w:basedOn w:val="37"/>
    <w:autoRedefine/>
    <w:qFormat/>
    <w:uiPriority w:val="0"/>
  </w:style>
  <w:style w:type="character" w:customStyle="1" w:styleId="110">
    <w:name w:val="first-child"/>
    <w:basedOn w:val="37"/>
    <w:autoRedefine/>
    <w:qFormat/>
    <w:uiPriority w:val="0"/>
  </w:style>
  <w:style w:type="character" w:customStyle="1" w:styleId="111">
    <w:name w:val="first-child1"/>
    <w:basedOn w:val="37"/>
    <w:autoRedefine/>
    <w:qFormat/>
    <w:uiPriority w:val="0"/>
  </w:style>
  <w:style w:type="paragraph" w:customStyle="1" w:styleId="112">
    <w:name w:val="Table Paragraph"/>
    <w:basedOn w:val="1"/>
    <w:autoRedefine/>
    <w:qFormat/>
    <w:uiPriority w:val="99"/>
    <w:pPr>
      <w:jc w:val="left"/>
    </w:pPr>
    <w:rPr>
      <w:rFonts w:ascii="宋体" w:hAnsi="宋体" w:cs="宋体"/>
      <w:kern w:val="0"/>
      <w:sz w:val="22"/>
      <w:szCs w:val="22"/>
      <w:lang w:eastAsia="en-US"/>
    </w:rPr>
  </w:style>
  <w:style w:type="character" w:customStyle="1" w:styleId="113">
    <w:name w:val="标题 2 字符"/>
    <w:link w:val="4"/>
    <w:autoRedefine/>
    <w:qFormat/>
    <w:uiPriority w:val="0"/>
    <w:rPr>
      <w:rFonts w:ascii="Arial" w:hAnsi="Arial" w:eastAsia="黑体"/>
      <w:b/>
      <w:bCs/>
      <w:sz w:val="32"/>
      <w:szCs w:val="32"/>
    </w:rPr>
  </w:style>
  <w:style w:type="character" w:customStyle="1" w:styleId="114">
    <w:name w:val="place"/>
    <w:basedOn w:val="37"/>
    <w:autoRedefine/>
    <w:qFormat/>
    <w:uiPriority w:val="0"/>
  </w:style>
  <w:style w:type="character" w:customStyle="1" w:styleId="115">
    <w:name w:val="place1"/>
    <w:basedOn w:val="37"/>
    <w:autoRedefine/>
    <w:qFormat/>
    <w:uiPriority w:val="0"/>
  </w:style>
  <w:style w:type="character" w:customStyle="1" w:styleId="116">
    <w:name w:val="place2"/>
    <w:basedOn w:val="37"/>
    <w:autoRedefine/>
    <w:qFormat/>
    <w:uiPriority w:val="0"/>
    <w:rPr>
      <w:rFonts w:ascii="微软雅黑" w:hAnsi="微软雅黑" w:eastAsia="微软雅黑" w:cs="微软雅黑"/>
      <w:color w:val="888888"/>
      <w:sz w:val="20"/>
      <w:szCs w:val="20"/>
    </w:rPr>
  </w:style>
  <w:style w:type="character" w:customStyle="1" w:styleId="117">
    <w:name w:val="place3"/>
    <w:basedOn w:val="37"/>
    <w:autoRedefine/>
    <w:qFormat/>
    <w:uiPriority w:val="0"/>
  </w:style>
  <w:style w:type="character" w:customStyle="1" w:styleId="118">
    <w:name w:val="font"/>
    <w:basedOn w:val="37"/>
    <w:autoRedefine/>
    <w:qFormat/>
    <w:uiPriority w:val="0"/>
  </w:style>
  <w:style w:type="character" w:customStyle="1" w:styleId="119">
    <w:name w:val="font1"/>
    <w:basedOn w:val="37"/>
    <w:autoRedefine/>
    <w:qFormat/>
    <w:uiPriority w:val="0"/>
  </w:style>
  <w:style w:type="character" w:customStyle="1" w:styleId="120">
    <w:name w:val="gwds_nopic"/>
    <w:basedOn w:val="37"/>
    <w:autoRedefine/>
    <w:qFormat/>
    <w:uiPriority w:val="0"/>
  </w:style>
  <w:style w:type="character" w:customStyle="1" w:styleId="121">
    <w:name w:val="gwds_nopic1"/>
    <w:basedOn w:val="37"/>
    <w:autoRedefine/>
    <w:qFormat/>
    <w:uiPriority w:val="0"/>
  </w:style>
  <w:style w:type="character" w:customStyle="1" w:styleId="122">
    <w:name w:val="gwds_nopic2"/>
    <w:basedOn w:val="37"/>
    <w:autoRedefine/>
    <w:qFormat/>
    <w:uiPriority w:val="0"/>
  </w:style>
  <w:style w:type="character" w:customStyle="1" w:styleId="123">
    <w:name w:val="noline"/>
    <w:basedOn w:val="37"/>
    <w:autoRedefine/>
    <w:qFormat/>
    <w:uiPriority w:val="0"/>
  </w:style>
  <w:style w:type="character" w:customStyle="1" w:styleId="124">
    <w:name w:val="hover17"/>
    <w:basedOn w:val="37"/>
    <w:autoRedefine/>
    <w:qFormat/>
    <w:uiPriority w:val="0"/>
    <w:rPr>
      <w:color w:val="025291"/>
    </w:rPr>
  </w:style>
  <w:style w:type="character" w:customStyle="1" w:styleId="125">
    <w:name w:val="Unresolved Mention"/>
    <w:basedOn w:val="37"/>
    <w:autoRedefine/>
    <w:semiHidden/>
    <w:unhideWhenUsed/>
    <w:qFormat/>
    <w:uiPriority w:val="99"/>
    <w:rPr>
      <w:color w:val="605E5C"/>
      <w:shd w:val="clear" w:color="auto" w:fill="E1DFDD"/>
    </w:rPr>
  </w:style>
  <w:style w:type="character" w:customStyle="1" w:styleId="126">
    <w:name w:val="hover7"/>
    <w:basedOn w:val="37"/>
    <w:autoRedefine/>
    <w:qFormat/>
    <w:uiPriority w:val="0"/>
    <w:rPr>
      <w:u w:val="single"/>
    </w:rPr>
  </w:style>
  <w:style w:type="character" w:customStyle="1" w:styleId="127">
    <w:name w:val="bsharetext"/>
    <w:basedOn w:val="37"/>
    <w:autoRedefine/>
    <w:qFormat/>
    <w:uiPriority w:val="0"/>
  </w:style>
  <w:style w:type="paragraph" w:customStyle="1" w:styleId="128">
    <w:name w:val="Default"/>
    <w:next w:val="129"/>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29">
    <w:name w:val="表格文字"/>
    <w:basedOn w:val="1"/>
    <w:autoRedefine/>
    <w:qFormat/>
    <w:uiPriority w:val="0"/>
    <w:pPr>
      <w:spacing w:line="360" w:lineRule="exact"/>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10937</Words>
  <Characters>11599</Characters>
  <Lines>294</Lines>
  <Paragraphs>82</Paragraphs>
  <TotalTime>2</TotalTime>
  <ScaleCrop>false</ScaleCrop>
  <LinksUpToDate>false</LinksUpToDate>
  <CharactersWithSpaces>12518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2023-12-29T01:05:00Z</cp:lastPrinted>
  <dcterms:modified xsi:type="dcterms:W3CDTF">2024-05-29T23:57:03Z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9F81BFA0C1224235816F55DE60F3CF6E</vt:lpwstr>
  </property>
</Properties>
</file>