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0"/>
          <w:szCs w:val="40"/>
          <w:lang w:eastAsia="zh-CN"/>
        </w:rPr>
      </w:pPr>
    </w:p>
    <w:p>
      <w:pPr>
        <w:pStyle w:val="30"/>
        <w:jc w:val="center"/>
      </w:pPr>
      <w:r>
        <w:rPr>
          <w:rFonts w:hint="eastAsia" w:ascii="宋体" w:hAnsi="宋体"/>
          <w:b/>
          <w:sz w:val="40"/>
          <w:szCs w:val="40"/>
          <w:lang w:eastAsia="zh-CN"/>
        </w:rPr>
        <w:t>烂泥坳村水毁修复工程项目</w:t>
      </w:r>
    </w:p>
    <w:p>
      <w:pPr>
        <w:jc w:val="center"/>
        <w:rPr>
          <w:rFonts w:hint="eastAsia" w:ascii="宋体" w:hAnsi="宋体"/>
          <w:b/>
          <w:sz w:val="52"/>
          <w:szCs w:val="52"/>
        </w:rPr>
      </w:pPr>
    </w:p>
    <w:p>
      <w:pPr>
        <w:jc w:val="center"/>
        <w:rPr>
          <w:rFonts w:hint="eastAsia" w:ascii="宋体" w:hAnsi="宋体"/>
          <w:b/>
          <w:sz w:val="52"/>
          <w:szCs w:val="52"/>
        </w:rPr>
      </w:pPr>
    </w:p>
    <w:p>
      <w:pPr>
        <w:jc w:val="center"/>
        <w:rPr>
          <w:rFonts w:ascii="宋体" w:hAnsi="宋体"/>
          <w:b/>
          <w:sz w:val="52"/>
          <w:szCs w:val="52"/>
        </w:rPr>
      </w:pPr>
      <w:r>
        <w:rPr>
          <w:rFonts w:hint="eastAsia" w:ascii="宋体" w:hAnsi="宋体"/>
          <w:b/>
          <w:sz w:val="52"/>
          <w:szCs w:val="52"/>
        </w:rPr>
        <w:t>谈</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判</w:t>
      </w:r>
    </w:p>
    <w:p>
      <w:pPr>
        <w:pStyle w:val="2"/>
      </w:pP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件</w:t>
      </w:r>
    </w:p>
    <w:p>
      <w:pPr>
        <w:spacing w:line="400" w:lineRule="exact"/>
        <w:ind w:firstLine="2570" w:firstLineChars="800"/>
        <w:rPr>
          <w:rFonts w:hint="eastAsia" w:ascii="宋体" w:hAnsi="宋体"/>
          <w:b/>
          <w:sz w:val="32"/>
          <w:szCs w:val="15"/>
          <w:lang w:val="en-US" w:eastAsia="zh-CN"/>
        </w:rPr>
      </w:pPr>
    </w:p>
    <w:p>
      <w:pPr>
        <w:spacing w:line="400" w:lineRule="exact"/>
        <w:ind w:firstLine="2560" w:firstLineChars="800"/>
        <w:rPr>
          <w:rFonts w:hint="default" w:ascii="宋体" w:hAnsi="宋体" w:eastAsia="宋体"/>
          <w:b w:val="0"/>
          <w:bCs/>
          <w:sz w:val="41"/>
          <w:lang w:val="en-US" w:eastAsia="zh-CN"/>
        </w:rPr>
      </w:pPr>
      <w:r>
        <w:rPr>
          <w:rFonts w:hint="eastAsia" w:ascii="宋体" w:hAnsi="宋体"/>
          <w:b w:val="0"/>
          <w:bCs/>
          <w:sz w:val="32"/>
          <w:szCs w:val="15"/>
          <w:lang w:val="en-US" w:eastAsia="zh-CN"/>
        </w:rPr>
        <w:t>项目编号：HSYD-2024-0605</w:t>
      </w:r>
      <w:r>
        <w:rPr>
          <w:rFonts w:hint="eastAsia" w:ascii="宋体" w:hAnsi="宋体" w:eastAsia="宋体"/>
          <w:b w:val="0"/>
          <w:bCs/>
          <w:sz w:val="32"/>
          <w:szCs w:val="15"/>
          <w:lang w:val="en-US" w:eastAsia="zh-CN"/>
        </w:rPr>
        <w:t xml:space="preserve"> </w:t>
      </w:r>
    </w:p>
    <w:p>
      <w:pPr>
        <w:spacing w:line="400" w:lineRule="exact"/>
        <w:rPr>
          <w:rFonts w:ascii="宋体" w:hAnsi="宋体"/>
        </w:rPr>
      </w:pP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360" w:lineRule="auto"/>
        <w:jc w:val="center"/>
        <w:rPr>
          <w:rFonts w:hint="eastAsia" w:ascii="宋体" w:hAnsi="宋体" w:cs="宋体"/>
          <w:b/>
          <w:bCs/>
          <w:color w:val="auto"/>
          <w:sz w:val="32"/>
          <w:szCs w:val="32"/>
          <w:lang w:eastAsia="zh-CN"/>
        </w:rPr>
      </w:pPr>
      <w:r>
        <w:rPr>
          <w:rFonts w:hint="eastAsia" w:ascii="宋体" w:hAnsi="宋体" w:cs="宋体"/>
          <w:b/>
          <w:bCs/>
          <w:color w:val="auto"/>
          <w:sz w:val="32"/>
          <w:szCs w:val="32"/>
          <w:lang w:val="en-US" w:eastAsia="zh-CN"/>
        </w:rPr>
        <w:t xml:space="preserve">   采 购 </w:t>
      </w:r>
      <w:r>
        <w:rPr>
          <w:rFonts w:hint="eastAsia" w:ascii="宋体" w:hAnsi="宋体" w:cs="宋体"/>
          <w:b/>
          <w:bCs/>
          <w:color w:val="auto"/>
          <w:sz w:val="32"/>
          <w:szCs w:val="32"/>
        </w:rPr>
        <w:t>人：</w:t>
      </w:r>
      <w:r>
        <w:rPr>
          <w:rFonts w:hint="eastAsia" w:ascii="宋体" w:hAnsi="宋体" w:cs="宋体"/>
          <w:b/>
          <w:bCs/>
          <w:color w:val="auto"/>
          <w:sz w:val="32"/>
          <w:szCs w:val="32"/>
          <w:lang w:eastAsia="zh-CN"/>
        </w:rPr>
        <w:t>霍山县落儿岭镇人民政府</w:t>
      </w:r>
    </w:p>
    <w:p>
      <w:pPr>
        <w:spacing w:line="360" w:lineRule="auto"/>
        <w:ind w:firstLine="2570" w:firstLineChars="800"/>
        <w:rPr>
          <w:rFonts w:hint="eastAsia" w:ascii="宋体" w:hAnsi="宋体" w:eastAsia="宋体" w:cs="宋体"/>
          <w:b/>
          <w:bCs/>
          <w:color w:val="auto"/>
          <w:lang w:eastAsia="zh-CN"/>
        </w:rPr>
      </w:pPr>
      <w:r>
        <w:rPr>
          <w:rFonts w:hint="eastAsia" w:ascii="宋体" w:hAnsi="宋体" w:cs="宋体"/>
          <w:b/>
          <w:bCs/>
          <w:color w:val="auto"/>
          <w:sz w:val="32"/>
          <w:szCs w:val="32"/>
          <w:lang w:val="en-US" w:eastAsia="zh-CN"/>
        </w:rPr>
        <w:t>代理机构</w:t>
      </w:r>
      <w:r>
        <w:rPr>
          <w:rFonts w:hint="eastAsia" w:ascii="宋体" w:hAnsi="宋体" w:cs="宋体"/>
          <w:b/>
          <w:bCs/>
          <w:color w:val="auto"/>
          <w:sz w:val="32"/>
          <w:szCs w:val="32"/>
        </w:rPr>
        <w:t>：</w:t>
      </w:r>
      <w:r>
        <w:rPr>
          <w:rFonts w:hint="eastAsia" w:ascii="宋体" w:hAnsi="宋体" w:cs="宋体"/>
          <w:b/>
          <w:bCs/>
          <w:color w:val="auto"/>
          <w:sz w:val="32"/>
          <w:szCs w:val="32"/>
          <w:lang w:eastAsia="zh-CN"/>
        </w:rPr>
        <w:t>霍山永达工程咨询有限公司</w:t>
      </w:r>
    </w:p>
    <w:p>
      <w:pPr>
        <w:spacing w:line="360" w:lineRule="auto"/>
        <w:ind w:firstLine="2570" w:firstLineChars="800"/>
        <w:rPr>
          <w:rFonts w:ascii="仿宋" w:hAnsi="仿宋" w:eastAsia="仿宋" w:cs="仿宋"/>
          <w:sz w:val="32"/>
          <w:szCs w:val="32"/>
        </w:rPr>
      </w:pPr>
      <w:r>
        <w:rPr>
          <w:rFonts w:hint="eastAsia" w:ascii="宋体" w:hAnsi="宋体" w:cs="宋体"/>
          <w:b/>
          <w:bCs/>
          <w:color w:val="auto"/>
          <w:sz w:val="32"/>
          <w:szCs w:val="32"/>
        </w:rPr>
        <w:t>发布日期：202</w:t>
      </w:r>
      <w:r>
        <w:rPr>
          <w:rFonts w:hint="eastAsia" w:ascii="宋体" w:hAnsi="宋体" w:cs="宋体"/>
          <w:b/>
          <w:bCs/>
          <w:color w:val="auto"/>
          <w:sz w:val="32"/>
          <w:szCs w:val="32"/>
          <w:lang w:val="en-US" w:eastAsia="zh-CN"/>
        </w:rPr>
        <w:t>4</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6</w:t>
      </w:r>
      <w:r>
        <w:rPr>
          <w:rFonts w:hint="eastAsia" w:ascii="宋体" w:hAnsi="宋体" w:cs="宋体"/>
          <w:b/>
          <w:bCs/>
          <w:color w:val="auto"/>
          <w:sz w:val="32"/>
          <w:szCs w:val="32"/>
        </w:rPr>
        <w:t>月</w:t>
      </w:r>
      <w:r>
        <w:rPr>
          <w:rFonts w:hint="eastAsia" w:ascii="宋体" w:hAnsi="宋体" w:cs="宋体"/>
          <w:b/>
          <w:bCs/>
          <w:color w:val="0000FF"/>
          <w:sz w:val="32"/>
          <w:szCs w:val="32"/>
        </w:rPr>
        <w:t xml:space="preserve"> </w:t>
      </w:r>
      <w:r>
        <w:rPr>
          <w:rFonts w:hint="eastAsia" w:ascii="宋体" w:hAnsi="宋体" w:cs="宋体"/>
          <w:color w:val="0000FF"/>
          <w:sz w:val="32"/>
          <w:szCs w:val="32"/>
        </w:rPr>
        <w:t xml:space="preserve">   </w:t>
      </w:r>
      <w:r>
        <w:rPr>
          <w:rFonts w:hint="eastAsia" w:ascii="仿宋" w:hAnsi="仿宋" w:eastAsia="仿宋" w:cs="仿宋"/>
          <w:sz w:val="32"/>
          <w:szCs w:val="32"/>
        </w:rPr>
        <w:t xml:space="preserve">   </w:t>
      </w:r>
    </w:p>
    <w:p>
      <w:pPr>
        <w:pStyle w:val="6"/>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080" w:bottom="1440" w:left="1080" w:header="851" w:footer="992" w:gutter="0"/>
          <w:pgNumType w:start="1"/>
          <w:cols w:space="720" w:num="1"/>
          <w:titlePg/>
          <w:docGrid w:type="lines" w:linePitch="312" w:charSpace="0"/>
        </w:sectPr>
      </w:pPr>
      <w:bookmarkStart w:id="0" w:name="_Toc28964"/>
      <w:bookmarkStart w:id="1" w:name="_Toc30186"/>
      <w:bookmarkStart w:id="2" w:name="_Toc363199264"/>
      <w:bookmarkStart w:id="3" w:name="_Toc216158623"/>
    </w:p>
    <w:p>
      <w:pPr>
        <w:pStyle w:val="6"/>
        <w:spacing w:before="156" w:beforeLines="50" w:after="156" w:afterLines="50" w:line="520" w:lineRule="exact"/>
        <w:jc w:val="center"/>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烂泥坳村水毁修复工程项目竞争性谈判采购公告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烂泥坳村水毁修复工程项目</w:t>
      </w:r>
      <w:r>
        <w:rPr>
          <w:rFonts w:hint="eastAsia" w:ascii="仿宋" w:hAnsi="仿宋" w:eastAsia="仿宋" w:cs="仿宋"/>
          <w:sz w:val="28"/>
          <w:szCs w:val="28"/>
        </w:rPr>
        <w:t>的潜在供应商应在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fldChar w:fldCharType="begin"/>
      </w:r>
      <w:r>
        <w:instrText xml:space="preserve"> HYPERLINK "http://ggzy.luan.gov.cn）获取采购文件，并于2022年11月" </w:instrText>
      </w:r>
      <w:r>
        <w:fldChar w:fldCharType="separate"/>
      </w:r>
      <w:r>
        <w:rPr>
          <w:rStyle w:val="47"/>
          <w:rFonts w:hint="eastAsia" w:ascii="仿宋" w:hAnsi="仿宋" w:eastAsia="仿宋" w:cs="仿宋"/>
          <w:sz w:val="28"/>
          <w:szCs w:val="28"/>
          <w:lang w:eastAsia="zh-CN"/>
        </w:rPr>
        <w:t>www.hsydgczx.com</w:t>
      </w:r>
      <w:r>
        <w:rPr>
          <w:rStyle w:val="47"/>
          <w:rFonts w:hint="eastAsia" w:ascii="仿宋" w:hAnsi="仿宋" w:eastAsia="仿宋" w:cs="仿宋"/>
          <w:sz w:val="28"/>
          <w:szCs w:val="28"/>
        </w:rPr>
        <w:t>）获取采购文件，并于202</w:t>
      </w:r>
      <w:r>
        <w:rPr>
          <w:rStyle w:val="47"/>
          <w:rFonts w:hint="eastAsia" w:ascii="仿宋" w:hAnsi="仿宋" w:eastAsia="仿宋" w:cs="仿宋"/>
          <w:sz w:val="28"/>
          <w:szCs w:val="28"/>
          <w:lang w:val="en-US" w:eastAsia="zh-CN"/>
        </w:rPr>
        <w:t>4</w:t>
      </w:r>
      <w:r>
        <w:rPr>
          <w:rStyle w:val="47"/>
          <w:rFonts w:hint="eastAsia" w:ascii="仿宋" w:hAnsi="仿宋" w:eastAsia="仿宋" w:cs="仿宋"/>
          <w:sz w:val="28"/>
          <w:szCs w:val="28"/>
        </w:rPr>
        <w:t>年</w:t>
      </w:r>
      <w:r>
        <w:rPr>
          <w:rStyle w:val="47"/>
          <w:rFonts w:hint="eastAsia" w:ascii="仿宋" w:hAnsi="仿宋" w:eastAsia="仿宋" w:cs="仿宋"/>
          <w:sz w:val="28"/>
          <w:szCs w:val="28"/>
          <w:lang w:val="en-US" w:eastAsia="zh-CN"/>
        </w:rPr>
        <w:t>7</w:t>
      </w:r>
      <w:r>
        <w:rPr>
          <w:rStyle w:val="47"/>
          <w:rFonts w:hint="eastAsia" w:ascii="仿宋" w:hAnsi="仿宋" w:eastAsia="仿宋" w:cs="仿宋"/>
          <w:sz w:val="28"/>
          <w:szCs w:val="28"/>
        </w:rPr>
        <w:t>月</w:t>
      </w:r>
      <w:r>
        <w:rPr>
          <w:rStyle w:val="47"/>
          <w:rFonts w:hint="eastAsia" w:ascii="仿宋" w:hAnsi="仿宋" w:eastAsia="仿宋" w:cs="仿宋"/>
          <w:sz w:val="28"/>
          <w:szCs w:val="28"/>
        </w:rPr>
        <w:fldChar w:fldCharType="end"/>
      </w:r>
      <w:r>
        <w:rPr>
          <w:rFonts w:hint="eastAsia" w:ascii="仿宋" w:hAnsi="仿宋" w:eastAsia="仿宋" w:cs="仿宋"/>
          <w:sz w:val="28"/>
          <w:szCs w:val="28"/>
          <w:u w:val="none"/>
          <w:lang w:val="en-US" w:eastAsia="zh-CN"/>
        </w:rPr>
        <w:t>1</w:t>
      </w:r>
      <w:r>
        <w:rPr>
          <w:rFonts w:hint="eastAsia" w:ascii="仿宋" w:hAnsi="仿宋" w:eastAsia="仿宋" w:cs="仿宋"/>
          <w:sz w:val="28"/>
          <w:szCs w:val="28"/>
        </w:rPr>
        <w:t>日</w:t>
      </w:r>
      <w:r>
        <w:rPr>
          <w:rFonts w:hint="eastAsia" w:ascii="仿宋" w:hAnsi="仿宋" w:eastAsia="仿宋" w:cs="仿宋"/>
          <w:sz w:val="28"/>
          <w:szCs w:val="28"/>
          <w:u w:val="none"/>
          <w:lang w:val="en-US" w:eastAsia="zh-CN"/>
        </w:rPr>
        <w:t>15</w:t>
      </w:r>
      <w:r>
        <w:rPr>
          <w:rFonts w:hint="eastAsia" w:ascii="仿宋" w:hAnsi="仿宋" w:eastAsia="仿宋" w:cs="仿宋"/>
          <w:sz w:val="28"/>
          <w:szCs w:val="28"/>
          <w:u w:val="none"/>
        </w:rPr>
        <w:t>点</w:t>
      </w:r>
      <w:r>
        <w:rPr>
          <w:rFonts w:hint="eastAsia" w:ascii="仿宋" w:hAnsi="仿宋" w:eastAsia="仿宋" w:cs="仿宋"/>
          <w:sz w:val="28"/>
          <w:szCs w:val="28"/>
          <w:u w:val="none"/>
          <w:lang w:val="en-US" w:eastAsia="zh-CN"/>
        </w:rPr>
        <w:t>00</w:t>
      </w:r>
      <w:r>
        <w:rPr>
          <w:rFonts w:hint="eastAsia" w:ascii="仿宋" w:hAnsi="仿宋" w:eastAsia="仿宋" w:cs="仿宋"/>
          <w:sz w:val="28"/>
          <w:szCs w:val="28"/>
        </w:rPr>
        <w:t>分（北京时间）前提交响应文件。</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4" w:name="_Toc35393629"/>
      <w:bookmarkStart w:id="5" w:name="_Toc35393798"/>
      <w:bookmarkStart w:id="6" w:name="_Toc7777"/>
      <w:bookmarkStart w:id="7" w:name="_Toc28359012"/>
      <w:bookmarkStart w:id="8" w:name="_Toc28359089"/>
      <w:r>
        <w:rPr>
          <w:rFonts w:hint="eastAsia" w:ascii="黑体" w:hAnsi="黑体" w:cs="黑体"/>
          <w:b w:val="0"/>
          <w:bCs/>
          <w:sz w:val="28"/>
          <w:szCs w:val="28"/>
        </w:rPr>
        <w:t>一、项目基本情况</w:t>
      </w:r>
      <w:bookmarkEnd w:id="4"/>
      <w:bookmarkEnd w:id="5"/>
      <w:bookmarkEnd w:id="6"/>
      <w:bookmarkEnd w:id="7"/>
      <w:bookmarkEnd w:id="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sz w:val="28"/>
          <w:szCs w:val="28"/>
          <w:lang w:eastAsia="zh-CN"/>
        </w:rPr>
        <w:t>烂泥坳村水毁修复工程项目</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项目编号：HSYD-2024-0605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项目类型：工程类</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、采购方式：竞争性谈判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、预算金额：</w:t>
      </w:r>
      <w:r>
        <w:rPr>
          <w:rFonts w:hint="eastAsia" w:ascii="仿宋" w:hAnsi="仿宋" w:eastAsia="仿宋" w:cs="仿宋"/>
          <w:sz w:val="28"/>
          <w:szCs w:val="28"/>
          <w:lang w:val="en-US" w:eastAsia="zh-CN"/>
        </w:rPr>
        <w:t>532011.00</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、最高限价：</w:t>
      </w:r>
      <w:r>
        <w:rPr>
          <w:rFonts w:hint="eastAsia" w:ascii="仿宋" w:hAnsi="仿宋" w:eastAsia="仿宋" w:cs="仿宋"/>
          <w:sz w:val="28"/>
          <w:szCs w:val="28"/>
          <w:lang w:val="en-US" w:eastAsia="zh-CN"/>
        </w:rPr>
        <w:t>532011.00</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、采购需求</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本项目位于霍山县落儿岭镇。工程主要内容包括：C25水泥商品混凝土挡土墙、C35水泥商品混凝土面板等，具体详见工程量清单。</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u w:val="single"/>
          <w:lang w:val="en-US"/>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、合同履行期限</w:t>
      </w:r>
      <w:r>
        <w:rPr>
          <w:rFonts w:hint="eastAsia" w:ascii="仿宋" w:hAnsi="仿宋" w:eastAsia="仿宋" w:cs="仿宋"/>
          <w:color w:val="auto"/>
          <w:sz w:val="28"/>
          <w:szCs w:val="28"/>
          <w:lang w:val="en-US" w:eastAsia="zh-CN"/>
        </w:rPr>
        <w:t>：30日历天</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、是否接受联合体：本项目不接受联合体</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9" w:name="_Toc28359013"/>
      <w:bookmarkStart w:id="10" w:name="_Toc35393799"/>
      <w:bookmarkStart w:id="11" w:name="_Toc28359090"/>
      <w:bookmarkStart w:id="12" w:name="_Toc35393630"/>
      <w:bookmarkStart w:id="13" w:name="_Toc11070"/>
      <w:r>
        <w:rPr>
          <w:rFonts w:hint="eastAsia" w:ascii="黑体" w:hAnsi="黑体" w:cs="黑体"/>
          <w:b w:val="0"/>
          <w:bCs/>
          <w:sz w:val="28"/>
          <w:szCs w:val="28"/>
        </w:rPr>
        <w:t>二、申请人的资格要求</w:t>
      </w:r>
      <w:bookmarkEnd w:id="9"/>
      <w:bookmarkEnd w:id="10"/>
      <w:bookmarkEnd w:id="11"/>
      <w:bookmarkEnd w:id="12"/>
      <w:bookmarkEnd w:id="1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bookmarkStart w:id="14" w:name="_Toc28359091"/>
      <w:bookmarkStart w:id="15" w:name="_Toc28359014"/>
      <w:r>
        <w:rPr>
          <w:rFonts w:hint="eastAsia" w:ascii="仿宋" w:hAnsi="仿宋" w:eastAsia="仿宋" w:cs="仿宋"/>
          <w:sz w:val="28"/>
          <w:szCs w:val="28"/>
        </w:rPr>
        <w:t>2、本项目的特定资格要求：</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（1）具</w:t>
      </w:r>
      <w:r>
        <w:rPr>
          <w:rFonts w:hint="eastAsia" w:ascii="仿宋" w:hAnsi="仿宋" w:eastAsia="仿宋" w:cs="仿宋"/>
          <w:sz w:val="28"/>
          <w:szCs w:val="28"/>
          <w:lang w:val="en-US" w:eastAsia="zh-CN"/>
        </w:rPr>
        <w:t>备公路工程</w:t>
      </w:r>
      <w:r>
        <w:rPr>
          <w:rFonts w:hint="eastAsia" w:ascii="仿宋" w:hAnsi="仿宋" w:eastAsia="仿宋" w:cs="仿宋"/>
          <w:sz w:val="28"/>
          <w:szCs w:val="28"/>
        </w:rPr>
        <w:t>施工总承包三级及以上资质，具有有效安全生产许可证；</w:t>
      </w:r>
    </w:p>
    <w:p>
      <w:pPr>
        <w:pageBreakBefore w:val="0"/>
        <w:kinsoku/>
        <w:wordWrap/>
        <w:overflowPunct/>
        <w:topLinePunct w:val="0"/>
        <w:autoSpaceDE/>
        <w:autoSpaceDN/>
        <w:bidi w:val="0"/>
        <w:adjustRightInd/>
        <w:snapToGrid/>
        <w:spacing w:line="460" w:lineRule="exact"/>
        <w:textAlignment w:val="auto"/>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eastAsia="zh-CN"/>
        </w:rPr>
        <w:t>拟派项目经理（建造师）应具有公路工程专业二级及以上注册建造师证书，并同时具有有效的安全考核合格B级证书</w:t>
      </w:r>
      <w:r>
        <w:rPr>
          <w:rFonts w:hint="eastAsia" w:ascii="仿宋" w:hAnsi="仿宋" w:eastAsia="仿宋" w:cs="仿宋"/>
          <w:sz w:val="28"/>
          <w:szCs w:val="28"/>
        </w:rPr>
        <w:t>；无在建工程（提供无在建承诺函，格式参考附件）。</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(4）供应商被政府采购监管部门列入政府采购严重违法失信行为记录名单的。</w:t>
      </w:r>
      <w:r>
        <w:rPr>
          <w:rFonts w:hint="eastAsia" w:ascii="仿宋" w:hAnsi="仿宋" w:eastAsia="仿宋" w:cs="仿宋"/>
          <w:sz w:val="28"/>
          <w:szCs w:val="28"/>
          <w:lang w:val="en-US" w:eastAsia="zh-CN"/>
        </w:rPr>
        <w:t xml:space="preserve">  </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w:t>
      </w:r>
      <w:r>
        <w:rPr>
          <w:rFonts w:hint="eastAsia" w:ascii="仿宋" w:hAnsi="仿宋" w:eastAsia="仿宋" w:cs="仿宋"/>
          <w:kern w:val="2"/>
          <w:sz w:val="28"/>
          <w:szCs w:val="28"/>
          <w:lang w:val="en-US" w:eastAsia="zh-CN" w:bidi="ar-SA"/>
        </w:rPr>
        <w:t>项目经理（建造师）及技术负责人必须是本单位工作人员。承包人需提供所属社保机构出具的包括谈判截止日所属月份（含）为基点起往前计算已经过去的连续5个月内不少于连续缴费3个月的拟委任的项目经理、技术负责人的社保缴费清单等社保缴费证明原件（例：7月19日发包，则连续5个月是指7月、6月、5月、4月、3月；连续3个月是指7月、6月、5月或6月、5月、4月或5月、4月、3月，其他类推）。社保缴费证明或提供的社保缴费证明不满足谈判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16" w:name="_Toc35393631"/>
      <w:bookmarkStart w:id="17" w:name="_Toc15899"/>
      <w:bookmarkStart w:id="18" w:name="_Toc35393800"/>
      <w:r>
        <w:rPr>
          <w:rFonts w:hint="eastAsia" w:ascii="黑体" w:hAnsi="黑体" w:cs="黑体"/>
          <w:b w:val="0"/>
          <w:bCs/>
          <w:sz w:val="28"/>
          <w:szCs w:val="28"/>
        </w:rPr>
        <w:t>三、获取采购文件</w:t>
      </w:r>
      <w:bookmarkEnd w:id="14"/>
      <w:bookmarkEnd w:id="15"/>
      <w:bookmarkEnd w:id="16"/>
      <w:bookmarkEnd w:id="17"/>
      <w:bookmarkEnd w:id="18"/>
    </w:p>
    <w:p>
      <w:pPr>
        <w:spacing w:line="480" w:lineRule="exact"/>
        <w:rPr>
          <w:rFonts w:ascii="仿宋" w:hAnsi="仿宋" w:eastAsia="仿宋" w:cs="仿宋"/>
          <w:sz w:val="28"/>
          <w:szCs w:val="28"/>
        </w:rPr>
      </w:pPr>
      <w:bookmarkStart w:id="19" w:name="_Toc35393632"/>
      <w:bookmarkStart w:id="20" w:name="_Toc28359015"/>
      <w:bookmarkStart w:id="21" w:name="_Toc35393801"/>
      <w:bookmarkStart w:id="22" w:name="_Toc28359092"/>
      <w:bookmarkStart w:id="23" w:name="_Toc13207"/>
      <w:r>
        <w:rPr>
          <w:rFonts w:hint="eastAsia" w:ascii="仿宋" w:hAnsi="仿宋" w:eastAsia="仿宋" w:cs="仿宋"/>
          <w:sz w:val="28"/>
          <w:szCs w:val="28"/>
        </w:rPr>
        <w:t>1、时间：自公告发布之日起至谈判时间前</w:t>
      </w:r>
    </w:p>
    <w:p>
      <w:pPr>
        <w:spacing w:line="480" w:lineRule="exact"/>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w:t>
      </w:r>
    </w:p>
    <w:p>
      <w:pPr>
        <w:spacing w:line="480" w:lineRule="exact"/>
        <w:rPr>
          <w:rFonts w:ascii="仿宋" w:hAnsi="仿宋" w:eastAsia="仿宋" w:cs="仿宋"/>
          <w:sz w:val="28"/>
          <w:szCs w:val="28"/>
        </w:rPr>
      </w:pPr>
      <w:r>
        <w:rPr>
          <w:rFonts w:hint="eastAsia" w:ascii="仿宋" w:hAnsi="仿宋" w:eastAsia="仿宋" w:cs="仿宋"/>
          <w:sz w:val="28"/>
          <w:szCs w:val="28"/>
        </w:rPr>
        <w:t>3、获取方式：本项目谈判文件（答疑澄清等相关文件资料）均由供应商从公告发布网站自行下载。</w:t>
      </w:r>
    </w:p>
    <w:p>
      <w:pPr>
        <w:spacing w:line="480" w:lineRule="exact"/>
        <w:rPr>
          <w:rFonts w:ascii="仿宋" w:hAnsi="仿宋" w:eastAsia="仿宋" w:cs="仿宋"/>
          <w:sz w:val="28"/>
          <w:szCs w:val="28"/>
        </w:rPr>
      </w:pPr>
      <w:r>
        <w:rPr>
          <w:rFonts w:hint="eastAsia" w:ascii="仿宋" w:hAnsi="仿宋" w:eastAsia="仿宋" w:cs="仿宋"/>
          <w:sz w:val="28"/>
          <w:szCs w:val="28"/>
        </w:rPr>
        <w:t>4、售价：零元</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spacing w:line="480" w:lineRule="exact"/>
        <w:rPr>
          <w:rFonts w:ascii="仿宋" w:hAnsi="仿宋" w:eastAsia="仿宋" w:cs="仿宋"/>
          <w:sz w:val="28"/>
          <w:szCs w:val="28"/>
        </w:rPr>
      </w:pPr>
      <w:r>
        <w:rPr>
          <w:rFonts w:hint="eastAsia" w:ascii="仿宋" w:hAnsi="仿宋" w:eastAsia="仿宋" w:cs="仿宋"/>
          <w:sz w:val="28"/>
          <w:szCs w:val="28"/>
        </w:rPr>
        <w:t>1、递交截止时间：</w:t>
      </w:r>
      <w:r>
        <w:rPr>
          <w:rFonts w:hint="eastAsia" w:ascii="仿宋" w:hAnsi="仿宋" w:eastAsia="仿宋" w:cs="仿宋"/>
          <w:color w:val="000000" w:themeColor="text1"/>
          <w:sz w:val="28"/>
          <w:szCs w:val="28"/>
          <w:lang w:eastAsia="zh-CN"/>
          <w14:textFill>
            <w14:solidFill>
              <w14:schemeClr w14:val="tx1"/>
            </w14:solidFill>
          </w14:textFill>
        </w:rPr>
        <w:t>2024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2、递交方式：</w:t>
      </w:r>
      <w:r>
        <w:rPr>
          <w:rFonts w:hint="eastAsia" w:ascii="仿宋" w:hAnsi="仿宋" w:eastAsia="仿宋" w:cs="仿宋"/>
          <w:sz w:val="28"/>
          <w:szCs w:val="28"/>
          <w:lang w:val="en-US" w:eastAsia="zh-CN"/>
        </w:rPr>
        <w:t>现场递交</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24" w:name="_Toc31128"/>
      <w:bookmarkStart w:id="25" w:name="_Toc28359093"/>
      <w:bookmarkStart w:id="26" w:name="_Toc35393633"/>
      <w:bookmarkStart w:id="27" w:name="_Toc28359016"/>
      <w:bookmarkStart w:id="28" w:name="_Toc35393802"/>
      <w:r>
        <w:rPr>
          <w:rFonts w:hint="eastAsia" w:ascii="黑体" w:hAnsi="黑体" w:cs="黑体"/>
          <w:b w:val="0"/>
          <w:bCs/>
          <w:sz w:val="28"/>
          <w:szCs w:val="28"/>
        </w:rPr>
        <w:t>五、响应文件开启</w:t>
      </w:r>
      <w:bookmarkEnd w:id="24"/>
      <w:bookmarkEnd w:id="25"/>
      <w:bookmarkEnd w:id="26"/>
      <w:bookmarkEnd w:id="27"/>
      <w:bookmarkEnd w:id="2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bookmarkStart w:id="29" w:name="_Toc35393634"/>
      <w:bookmarkStart w:id="30" w:name="_Toc28359094"/>
      <w:bookmarkStart w:id="31" w:name="_Toc25132"/>
      <w:bookmarkStart w:id="32" w:name="_Toc35393803"/>
      <w:bookmarkStart w:id="33" w:name="_Toc28359017"/>
      <w:r>
        <w:rPr>
          <w:rFonts w:hint="eastAsia" w:ascii="仿宋" w:hAnsi="仿宋" w:eastAsia="仿宋" w:cs="仿宋"/>
          <w:sz w:val="28"/>
          <w:szCs w:val="28"/>
        </w:rPr>
        <w:t>1、开启时间：</w:t>
      </w:r>
      <w:r>
        <w:rPr>
          <w:rFonts w:hint="eastAsia" w:ascii="仿宋" w:hAnsi="仿宋" w:eastAsia="仿宋" w:cs="仿宋"/>
          <w:sz w:val="28"/>
          <w:szCs w:val="28"/>
          <w:lang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r>
        <w:rPr>
          <w:rFonts w:hint="eastAsia" w:ascii="仿宋" w:hAnsi="仿宋" w:eastAsia="仿宋" w:cs="仿宋"/>
          <w:sz w:val="28"/>
          <w:szCs w:val="28"/>
          <w:lang w:val="en-US" w:eastAsia="zh-CN"/>
        </w:rPr>
        <w:t>15</w:t>
      </w:r>
      <w:r>
        <w:rPr>
          <w:rFonts w:hint="eastAsia" w:ascii="仿宋" w:hAnsi="仿宋" w:eastAsia="仿宋" w:cs="仿宋"/>
          <w:sz w:val="28"/>
          <w:szCs w:val="28"/>
        </w:rPr>
        <w:t>点</w:t>
      </w:r>
      <w:r>
        <w:rPr>
          <w:rFonts w:hint="eastAsia" w:ascii="仿宋" w:hAnsi="仿宋" w:eastAsia="仿宋" w:cs="仿宋"/>
          <w:sz w:val="28"/>
          <w:szCs w:val="28"/>
          <w:lang w:val="en-US" w:eastAsia="zh-CN"/>
        </w:rPr>
        <w:t>00</w:t>
      </w:r>
      <w:r>
        <w:rPr>
          <w:rFonts w:hint="eastAsia" w:ascii="仿宋" w:hAnsi="仿宋" w:eastAsia="仿宋" w:cs="仿宋"/>
          <w:sz w:val="28"/>
          <w:szCs w:val="28"/>
        </w:rPr>
        <w:t>分（北京时间）</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2、开启地点：</w:t>
      </w:r>
      <w:r>
        <w:rPr>
          <w:rFonts w:hint="eastAsia" w:ascii="仿宋" w:hAnsi="仿宋" w:eastAsia="仿宋" w:cs="仿宋"/>
          <w:sz w:val="28"/>
          <w:szCs w:val="28"/>
          <w:lang w:eastAsia="zh-CN"/>
        </w:rPr>
        <w:t>霍山永达工程咨询有限公司三楼开标厅</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29"/>
      <w:bookmarkEnd w:id="30"/>
      <w:bookmarkEnd w:id="31"/>
      <w:bookmarkEnd w:id="32"/>
      <w:bookmarkEnd w:id="3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pageBreakBefore w:val="0"/>
        <w:kinsoku/>
        <w:wordWrap/>
        <w:overflowPunct/>
        <w:topLinePunct w:val="0"/>
        <w:autoSpaceDE/>
        <w:autoSpaceDN/>
        <w:bidi w:val="0"/>
        <w:adjustRightInd/>
        <w:snapToGrid/>
        <w:spacing w:line="46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4" w:name="_Toc35393804"/>
      <w:bookmarkStart w:id="35" w:name="_Toc35393635"/>
      <w:r>
        <w:rPr>
          <w:rFonts w:hint="eastAsia" w:ascii="黑体" w:hAnsi="黑体" w:eastAsia="黑体" w:cs="黑体"/>
          <w:sz w:val="28"/>
          <w:szCs w:val="28"/>
        </w:rPr>
        <w:t>其他事宜</w:t>
      </w:r>
      <w:bookmarkEnd w:id="34"/>
      <w:bookmarkEnd w:id="35"/>
      <w:bookmarkStart w:id="36" w:name="_Toc28359018"/>
      <w:bookmarkStart w:id="37" w:name="_Toc35393636"/>
      <w:bookmarkStart w:id="38" w:name="_Toc35393805"/>
      <w:bookmarkStart w:id="39" w:name="_Toc28359095"/>
    </w:p>
    <w:p>
      <w:pPr>
        <w:spacing w:line="460" w:lineRule="exact"/>
        <w:ind w:firstLine="560" w:firstLineChars="200"/>
        <w:rPr>
          <w:rFonts w:ascii="仿宋" w:hAnsi="仿宋" w:eastAsia="仿宋" w:cs="仿宋"/>
          <w:kern w:val="0"/>
          <w:sz w:val="28"/>
          <w:szCs w:val="28"/>
        </w:rPr>
      </w:pPr>
      <w:bookmarkStart w:id="40" w:name="_Toc21256"/>
      <w:r>
        <w:rPr>
          <w:rFonts w:hint="eastAsia" w:ascii="仿宋" w:hAnsi="仿宋" w:eastAsia="仿宋" w:cs="仿宋"/>
          <w:sz w:val="28"/>
          <w:szCs w:val="28"/>
        </w:rPr>
        <w:t>1、供应商应当按照本项目采购文件规定的时间和地点参与谈判，供应商仅确定一名人员参加：法定代表人持本人二代居民身份证原件和法定代表人身份证明、及本人近三个月社保证明材料（或授权委托代理人持本人二代居民身份证原件和法人授权委托书原件、委托人近三个月社保证明材料），凡不能出示上述有效证件、社保证明材料或到场人员与证件、社保证明载明的人员不一致或未出席谈判会议者，响应文件不予接受，谈判资格无效。近三个月社保的认定方法与前述关于项目经理等的社保认定方法相同。凡开标现场提供查验的委托人或法人代表的社保证明材料不清晰无法辨认，或社保证明材料未提供查验二维码或其他验真码无法验证真实性的，均不予认可，响应文件不予接受，谈判资格无效。</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2、答疑：供应商如果对本项目内容有相关疑问，可以以邮件形式提出，对采购文件进行的澄清、更正或更改，将在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）网站上及时发布，该公告内容为采购文件的组成部分，对供应商具有同样约束力效力。供应商应主动上网查询，供应商须自行承担因未及时关注相关信息而引发的相关责任。</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3、本项目相关公告在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）网站发布，请各位供应商注意查看有关竞争性谈判公告、答疑澄清等相关文件资料，如不及时查看造成后果由供应商自负。</w:t>
      </w:r>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黑体" w:hAnsi="黑体" w:eastAsia="黑体" w:cs="黑体"/>
          <w:b w:val="0"/>
          <w:bCs/>
          <w:sz w:val="28"/>
          <w:szCs w:val="28"/>
          <w:lang w:val="en-US" w:eastAsia="zh-CN"/>
        </w:rPr>
      </w:pPr>
      <w:r>
        <w:rPr>
          <w:rFonts w:hint="eastAsia" w:ascii="仿宋" w:hAnsi="仿宋" w:eastAsia="仿宋" w:cs="仿宋"/>
          <w:sz w:val="28"/>
          <w:szCs w:val="28"/>
        </w:rPr>
        <w:t>4、严禁恶意低价或恶意高价竞标，对恶意低价或恶意高价竞标的，采购人有权进行调查处理，经查证属实的，其响应资格无效，同时给予限制投标资格等处理。</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6"/>
      <w:bookmarkEnd w:id="37"/>
      <w:bookmarkEnd w:id="38"/>
      <w:bookmarkEnd w:id="39"/>
      <w:bookmarkEnd w:id="40"/>
    </w:p>
    <w:p>
      <w:pPr>
        <w:pStyle w:val="6"/>
        <w:pageBreakBefore w:val="0"/>
        <w:kinsoku/>
        <w:wordWrap/>
        <w:overflowPunct/>
        <w:topLinePunct w:val="0"/>
        <w:autoSpaceDE/>
        <w:autoSpaceDN/>
        <w:bidi w:val="0"/>
        <w:adjustRightInd/>
        <w:snapToGrid/>
        <w:spacing w:before="0" w:after="0" w:line="420" w:lineRule="exact"/>
        <w:jc w:val="both"/>
        <w:textAlignment w:val="auto"/>
        <w:rPr>
          <w:rFonts w:ascii="仿宋" w:hAnsi="仿宋" w:eastAsia="仿宋" w:cs="仿宋"/>
          <w:b w:val="0"/>
          <w:bCs/>
          <w:sz w:val="28"/>
          <w:szCs w:val="28"/>
        </w:rPr>
      </w:pPr>
      <w:bookmarkStart w:id="41" w:name="_Toc35393637"/>
      <w:bookmarkStart w:id="42" w:name="_Toc28359019"/>
      <w:bookmarkStart w:id="43" w:name="_Toc35393806"/>
      <w:bookmarkStart w:id="44" w:name="_Toc12167"/>
      <w:bookmarkStart w:id="45" w:name="_Toc28359096"/>
      <w:r>
        <w:rPr>
          <w:rFonts w:hint="eastAsia" w:ascii="仿宋" w:hAnsi="仿宋" w:eastAsia="仿宋" w:cs="仿宋"/>
          <w:b w:val="0"/>
          <w:bCs/>
          <w:sz w:val="28"/>
          <w:szCs w:val="28"/>
        </w:rPr>
        <w:t>1、采购人信息</w:t>
      </w:r>
      <w:bookmarkEnd w:id="41"/>
      <w:bookmarkEnd w:id="42"/>
      <w:bookmarkEnd w:id="43"/>
      <w:bookmarkEnd w:id="44"/>
      <w:bookmarkEnd w:id="45"/>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bookmarkStart w:id="46" w:name="_Toc28359020"/>
      <w:bookmarkStart w:id="47" w:name="_Toc28359097"/>
      <w:bookmarkStart w:id="48" w:name="_Toc35393807"/>
      <w:bookmarkStart w:id="49" w:name="_Toc35393638"/>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霍山县落儿岭镇人民政府</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pacing w:val="-11"/>
          <w:kern w:val="11"/>
          <w:sz w:val="28"/>
          <w:szCs w:val="28"/>
          <w:lang w:val="en-US" w:eastAsia="zh-CN"/>
        </w:rPr>
      </w:pPr>
      <w:r>
        <w:rPr>
          <w:rFonts w:hint="eastAsia" w:ascii="仿宋" w:hAnsi="仿宋" w:eastAsia="仿宋" w:cs="仿宋"/>
          <w:bCs/>
          <w:sz w:val="28"/>
          <w:szCs w:val="28"/>
        </w:rPr>
        <w:t>地址：</w:t>
      </w:r>
      <w:r>
        <w:rPr>
          <w:rFonts w:hint="eastAsia" w:ascii="仿宋" w:hAnsi="仿宋" w:eastAsia="仿宋" w:cs="仿宋"/>
          <w:bCs/>
          <w:spacing w:val="-11"/>
          <w:kern w:val="11"/>
          <w:sz w:val="28"/>
          <w:szCs w:val="28"/>
          <w:lang w:eastAsia="zh-CN"/>
        </w:rPr>
        <w:t>霍山县</w:t>
      </w:r>
      <w:r>
        <w:rPr>
          <w:rFonts w:hint="eastAsia" w:ascii="仿宋" w:hAnsi="仿宋" w:eastAsia="仿宋" w:cs="仿宋"/>
          <w:bCs/>
          <w:spacing w:val="-11"/>
          <w:kern w:val="11"/>
          <w:sz w:val="28"/>
          <w:szCs w:val="28"/>
          <w:lang w:val="en-US" w:eastAsia="zh-CN"/>
        </w:rPr>
        <w:t>落儿岭镇</w:t>
      </w:r>
    </w:p>
    <w:p>
      <w:pPr>
        <w:pageBreakBefore w:val="0"/>
        <w:kinsoku/>
        <w:wordWrap/>
        <w:overflowPunct/>
        <w:topLinePunct w:val="0"/>
        <w:autoSpaceDE/>
        <w:autoSpaceDN/>
        <w:bidi w:val="0"/>
        <w:adjustRightInd/>
        <w:snapToGrid/>
        <w:spacing w:line="420" w:lineRule="exact"/>
        <w:ind w:left="559" w:leftChars="266" w:firstLine="0" w:firstLineChars="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rPr>
        <w:t>联系电话</w:t>
      </w:r>
      <w:r>
        <w:rPr>
          <w:rFonts w:hint="eastAsia" w:ascii="仿宋" w:hAnsi="仿宋" w:eastAsia="仿宋" w:cs="仿宋"/>
          <w:bCs/>
          <w:spacing w:val="-11"/>
          <w:kern w:val="11"/>
          <w:sz w:val="28"/>
          <w:szCs w:val="28"/>
          <w:lang w:eastAsia="zh-CN"/>
        </w:rPr>
        <w:t>：</w:t>
      </w:r>
      <w:r>
        <w:rPr>
          <w:rFonts w:hint="eastAsia" w:ascii="仿宋" w:hAnsi="仿宋" w:eastAsia="仿宋" w:cs="仿宋"/>
          <w:bCs/>
          <w:spacing w:val="-11"/>
          <w:kern w:val="11"/>
          <w:sz w:val="28"/>
          <w:szCs w:val="28"/>
          <w:lang w:val="en-US" w:eastAsia="zh-CN"/>
        </w:rPr>
        <w:t>15324568838</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2、采购代理机构信息</w:t>
      </w:r>
      <w:bookmarkEnd w:id="46"/>
      <w:bookmarkEnd w:id="47"/>
      <w:bookmarkEnd w:id="48"/>
      <w:bookmarkEnd w:id="49"/>
      <w:bookmarkStart w:id="50" w:name="_Toc35393808"/>
      <w:bookmarkStart w:id="51" w:name="_Toc28359098"/>
      <w:bookmarkStart w:id="52" w:name="_Toc35393639"/>
      <w:bookmarkStart w:id="53" w:name="_Toc28359021"/>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霍山永达工程咨询有限公司</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bCs/>
          <w:sz w:val="28"/>
          <w:szCs w:val="28"/>
          <w:lang w:val="en-US" w:eastAsia="zh-CN"/>
        </w:rPr>
        <w:t>霍山县中兴南路14号</w:t>
      </w:r>
      <w:r>
        <w:rPr>
          <w:rFonts w:hint="eastAsia" w:ascii="仿宋" w:hAnsi="仿宋" w:eastAsia="仿宋" w:cs="仿宋"/>
          <w:bCs/>
          <w:sz w:val="28"/>
          <w:szCs w:val="28"/>
        </w:rPr>
        <w:t xml:space="preserve"> </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0564-5022803、18005649621</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3、项目联系方式</w:t>
      </w:r>
      <w:bookmarkEnd w:id="50"/>
      <w:bookmarkEnd w:id="51"/>
      <w:bookmarkEnd w:id="52"/>
      <w:bookmarkEnd w:id="53"/>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鲍先生</w:t>
      </w:r>
      <w:r>
        <w:rPr>
          <w:rFonts w:hint="eastAsia" w:ascii="仿宋" w:hAnsi="仿宋" w:eastAsia="仿宋" w:cs="仿宋"/>
          <w:bCs/>
          <w:sz w:val="28"/>
          <w:szCs w:val="28"/>
          <w:lang w:val="en-US" w:eastAsia="zh-CN"/>
        </w:rPr>
        <w:tab/>
      </w:r>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电　 话：</w:t>
      </w:r>
      <w:r>
        <w:rPr>
          <w:rFonts w:hint="eastAsia" w:ascii="仿宋" w:hAnsi="仿宋" w:eastAsia="仿宋" w:cs="仿宋"/>
          <w:bCs/>
          <w:sz w:val="28"/>
          <w:szCs w:val="28"/>
          <w:lang w:val="en-US" w:eastAsia="zh-CN"/>
        </w:rPr>
        <w:t>0564-5022803</w:t>
      </w:r>
    </w:p>
    <w:p>
      <w:pPr>
        <w:pageBreakBefore w:val="0"/>
        <w:widowControl/>
        <w:kinsoku/>
        <w:wordWrap/>
        <w:overflowPunct/>
        <w:topLinePunct w:val="0"/>
        <w:autoSpaceDE/>
        <w:autoSpaceDN/>
        <w:bidi w:val="0"/>
        <w:adjustRightInd/>
        <w:snapToGrid/>
        <w:spacing w:line="460" w:lineRule="exact"/>
        <w:ind w:firstLine="560" w:firstLineChars="200"/>
        <w:jc w:val="right"/>
        <w:textAlignment w:val="auto"/>
        <w:rPr>
          <w:rFonts w:ascii="仿宋" w:hAnsi="仿宋" w:eastAsia="仿宋" w:cs="仿宋"/>
          <w:bCs/>
          <w:sz w:val="28"/>
          <w:szCs w:val="28"/>
        </w:rPr>
      </w:pPr>
      <w:r>
        <w:rPr>
          <w:rFonts w:hint="eastAsia" w:ascii="仿宋" w:hAnsi="仿宋" w:eastAsia="仿宋" w:cs="仿宋"/>
          <w:bCs/>
          <w:sz w:val="28"/>
          <w:szCs w:val="28"/>
          <w:lang w:eastAsia="zh-CN"/>
        </w:rPr>
        <w:t>2024</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 xml:space="preserve"> 6</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26</w:t>
      </w:r>
      <w:r>
        <w:rPr>
          <w:rFonts w:hint="eastAsia" w:ascii="仿宋" w:hAnsi="仿宋" w:eastAsia="仿宋" w:cs="仿宋"/>
          <w:bCs/>
          <w:sz w:val="28"/>
          <w:szCs w:val="28"/>
        </w:rPr>
        <w:t>日</w:t>
      </w:r>
    </w:p>
    <w:p>
      <w:pPr>
        <w:rPr>
          <w:rFonts w:hint="eastAsia" w:ascii="宋体" w:hAnsi="宋体" w:eastAsia="宋体" w:cs="宋体"/>
          <w:sz w:val="28"/>
          <w:szCs w:val="28"/>
        </w:rPr>
      </w:pPr>
      <w:bookmarkStart w:id="54" w:name="_Toc18386"/>
      <w:r>
        <w:rPr>
          <w:rFonts w:hint="eastAsia" w:ascii="宋体" w:hAnsi="宋体" w:eastAsia="宋体" w:cs="宋体"/>
          <w:sz w:val="28"/>
          <w:szCs w:val="28"/>
        </w:rPr>
        <w:br w:type="page"/>
      </w:r>
    </w:p>
    <w:p>
      <w:pPr>
        <w:pStyle w:val="6"/>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4"/>
    </w:p>
    <w:p>
      <w:pPr>
        <w:pStyle w:val="6"/>
        <w:spacing w:before="0" w:after="0" w:line="560" w:lineRule="exact"/>
        <w:jc w:val="center"/>
        <w:rPr>
          <w:rFonts w:ascii="宋体" w:hAnsi="宋体" w:eastAsia="宋体" w:cs="宋体"/>
          <w:sz w:val="24"/>
          <w:szCs w:val="24"/>
        </w:rPr>
      </w:pPr>
      <w:bookmarkStart w:id="55" w:name="_Toc6858"/>
      <w:r>
        <w:rPr>
          <w:rFonts w:hint="eastAsia" w:ascii="宋体" w:hAnsi="宋体" w:eastAsia="宋体" w:cs="宋体"/>
          <w:sz w:val="24"/>
          <w:szCs w:val="24"/>
        </w:rPr>
        <w:t>（一）须知前附表</w:t>
      </w:r>
      <w:bookmarkEnd w:id="55"/>
    </w:p>
    <w:tbl>
      <w:tblPr>
        <w:tblStyle w:val="36"/>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13"/>
        <w:gridCol w:w="1720"/>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spacing w:line="440" w:lineRule="exact"/>
              <w:jc w:val="center"/>
              <w:rPr>
                <w:rFonts w:ascii="宋体" w:hAnsi="宋体"/>
                <w:b/>
                <w:sz w:val="24"/>
                <w:szCs w:val="24"/>
              </w:rPr>
            </w:pPr>
            <w:bookmarkStart w:id="56" w:name="_Toc438107743"/>
            <w:bookmarkStart w:id="57" w:name="_Toc216158627"/>
            <w:bookmarkStart w:id="58" w:name="_Toc363199267"/>
            <w:r>
              <w:rPr>
                <w:rFonts w:hint="eastAsia" w:ascii="宋体" w:hAnsi="宋体"/>
                <w:b/>
                <w:sz w:val="24"/>
                <w:szCs w:val="24"/>
              </w:rPr>
              <w:t>序号</w:t>
            </w:r>
          </w:p>
        </w:tc>
        <w:tc>
          <w:tcPr>
            <w:tcW w:w="1720"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227" w:type="dxa"/>
            <w:vAlign w:val="center"/>
          </w:tcPr>
          <w:p>
            <w:pPr>
              <w:pStyle w:val="101"/>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720"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227" w:type="dxa"/>
            <w:vAlign w:val="center"/>
          </w:tcPr>
          <w:p>
            <w:pPr>
              <w:spacing w:line="440" w:lineRule="exact"/>
              <w:rPr>
                <w:sz w:val="24"/>
                <w:szCs w:val="24"/>
              </w:rPr>
            </w:pPr>
            <w:r>
              <w:rPr>
                <w:rFonts w:hint="eastAsia"/>
                <w:sz w:val="24"/>
                <w:szCs w:val="24"/>
                <w:lang w:eastAsia="zh-CN"/>
              </w:rPr>
              <w:t>霍山县落儿岭镇人民政府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720"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227"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霍山永达工程咨询有限公司</w:t>
            </w:r>
            <w:r>
              <w:rPr>
                <w:rFonts w:ascii="宋体" w:hAnsi="宋体"/>
                <w:sz w:val="24"/>
                <w:szCs w:val="24"/>
              </w:rPr>
              <w:t xml:space="preserve"> </w:t>
            </w:r>
          </w:p>
          <w:p>
            <w:pPr>
              <w:spacing w:line="440" w:lineRule="exact"/>
              <w:jc w:val="left"/>
              <w:rPr>
                <w:rFonts w:hint="default"/>
                <w:b/>
                <w:bCs/>
                <w:sz w:val="24"/>
                <w:szCs w:val="24"/>
                <w:lang w:val="en-US"/>
              </w:rPr>
            </w:pPr>
            <w:r>
              <w:rPr>
                <w:rFonts w:hint="eastAsia"/>
                <w:sz w:val="24"/>
                <w:szCs w:val="24"/>
              </w:rPr>
              <w:t>地址：</w:t>
            </w:r>
            <w:r>
              <w:rPr>
                <w:rFonts w:hint="eastAsia"/>
                <w:sz w:val="24"/>
                <w:szCs w:val="24"/>
                <w:lang w:val="en-US" w:eastAsia="zh-CN"/>
              </w:rPr>
              <w:t>霍山县中兴南路14号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227" w:type="dxa"/>
            <w:vAlign w:val="center"/>
          </w:tcPr>
          <w:p>
            <w:pPr>
              <w:pStyle w:val="101"/>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227" w:type="dxa"/>
            <w:vAlign w:val="center"/>
          </w:tcPr>
          <w:p>
            <w:pPr>
              <w:pStyle w:val="101"/>
              <w:widowControl w:val="0"/>
              <w:spacing w:before="0" w:beforeAutospacing="0" w:after="0" w:afterAutospacing="0" w:line="440" w:lineRule="exact"/>
              <w:jc w:val="both"/>
              <w:rPr>
                <w:b w:val="0"/>
                <w:bCs w:val="0"/>
                <w:sz w:val="24"/>
                <w:szCs w:val="24"/>
              </w:rPr>
            </w:pPr>
            <w:r>
              <w:rPr>
                <w:rFonts w:hint="eastAsia"/>
                <w:b w:val="0"/>
                <w:bCs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227" w:type="dxa"/>
            <w:vAlign w:val="center"/>
          </w:tcPr>
          <w:p>
            <w:pPr>
              <w:pStyle w:val="101"/>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烂泥坳村水毁修复工程项目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227" w:type="dxa"/>
            <w:vAlign w:val="center"/>
          </w:tcPr>
          <w:p>
            <w:pPr>
              <w:pStyle w:val="101"/>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bCs w:val="0"/>
                <w:sz w:val="24"/>
                <w:szCs w:val="24"/>
                <w:lang w:val="en-US" w:eastAsia="zh-CN"/>
              </w:rPr>
              <w:t>HSYD-2024-0605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2"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付款方式</w:t>
            </w:r>
          </w:p>
        </w:tc>
        <w:tc>
          <w:tcPr>
            <w:tcW w:w="7227" w:type="dxa"/>
            <w:vAlign w:val="center"/>
          </w:tcPr>
          <w:p>
            <w:pPr>
              <w:pStyle w:val="99"/>
              <w:pBdr>
                <w:bottom w:val="none" w:color="auto" w:sz="0" w:space="0"/>
              </w:pBdr>
              <w:tabs>
                <w:tab w:val="clear" w:pos="4153"/>
                <w:tab w:val="clear" w:pos="8306"/>
              </w:tabs>
              <w:adjustRightInd/>
              <w:spacing w:line="460" w:lineRule="exact"/>
              <w:jc w:val="both"/>
              <w:rPr>
                <w:rFonts w:hint="default"/>
                <w:szCs w:val="24"/>
                <w:lang w:val="en-US" w:eastAsia="zh-CN"/>
              </w:rPr>
            </w:pPr>
            <w:r>
              <w:rPr>
                <w:rFonts w:hint="eastAsia"/>
                <w:szCs w:val="24"/>
                <w:lang w:val="en-US"/>
              </w:rPr>
              <w:t>工程整体竣工验收合格后，付至已完合格工程量合同价款的98%，剩余2%为质保金，缺陷责任期（12个月）满后一次性支付（质量保证金方式：工程款预</w:t>
            </w:r>
            <w:bookmarkStart w:id="108" w:name="_GoBack"/>
            <w:bookmarkEnd w:id="108"/>
            <w:r>
              <w:rPr>
                <w:rFonts w:hint="eastAsia"/>
                <w:szCs w:val="24"/>
                <w:lang w:val="en-US"/>
              </w:rPr>
              <w:t>留、现金转账、担保保函、保证保险、保函（含电子保函）等）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227" w:type="dxa"/>
            <w:vAlign w:val="center"/>
          </w:tcPr>
          <w:p>
            <w:pPr>
              <w:pStyle w:val="99"/>
              <w:pBdr>
                <w:bottom w:val="none" w:color="auto" w:sz="0" w:space="0"/>
              </w:pBdr>
              <w:tabs>
                <w:tab w:val="clear" w:pos="4153"/>
                <w:tab w:val="clear" w:pos="8306"/>
              </w:tabs>
              <w:adjustRightInd/>
              <w:spacing w:line="460" w:lineRule="exact"/>
              <w:jc w:val="both"/>
              <w:rPr>
                <w:rFonts w:hint="eastAsia"/>
                <w:szCs w:val="24"/>
                <w:lang w:val="en-US"/>
              </w:rPr>
            </w:pPr>
            <w:r>
              <w:rPr>
                <w:rFonts w:hint="eastAsia"/>
                <w:szCs w:val="24"/>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质保期</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hint="default" w:eastAsia="宋体"/>
                <w:b/>
                <w:bCs/>
                <w:szCs w:val="24"/>
                <w:lang w:val="en-US" w:eastAsia="zh-CN"/>
              </w:rPr>
            </w:pPr>
            <w:r>
              <w:rPr>
                <w:rFonts w:hint="eastAsia" w:ascii="宋体" w:hAnsi="宋体" w:cs="宋体"/>
                <w:bCs/>
                <w:color w:val="auto"/>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成交</w:t>
            </w:r>
            <w:r>
              <w:rPr>
                <w:rFonts w:hint="eastAsia" w:ascii="宋体" w:hAnsi="宋体"/>
                <w:bCs/>
                <w:kern w:val="2"/>
                <w:szCs w:val="24"/>
              </w:rPr>
              <w:t>服务费</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bCs/>
                <w:szCs w:val="24"/>
                <w:lang w:val="en-US"/>
              </w:rPr>
            </w:pPr>
            <w:r>
              <w:rPr>
                <w:rFonts w:hint="eastAsia" w:ascii="宋体" w:hAnsi="宋体" w:cs="宋体"/>
                <w:color w:val="auto"/>
                <w:szCs w:val="24"/>
                <w:highlight w:val="none"/>
              </w:rPr>
              <w:t>成交供应商须向采购代理机构交纳代理服务费，代理服务费按国家收费标准计取，在领取成交通知书时缴纳，计算基数为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价。专家评审费（具体以实际支付金额为准）由成交供应商在领取成交通知书时另行支付。供应商在报价时综合考虑上述费用，不单独列项。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highlight w:val="none"/>
              </w:rPr>
              <w:t>履约保证金</w:t>
            </w:r>
          </w:p>
        </w:tc>
        <w:tc>
          <w:tcPr>
            <w:tcW w:w="7227" w:type="dxa"/>
            <w:vAlign w:val="center"/>
          </w:tcPr>
          <w:p>
            <w:pPr>
              <w:pStyle w:val="99"/>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99"/>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 w:val="24"/>
                <w:szCs w:val="24"/>
                <w:highlight w:val="none"/>
                <w:lang w:val="en-US" w:eastAsia="zh-CN"/>
              </w:rPr>
              <w:t>无。</w:t>
            </w:r>
          </w:p>
          <w:p>
            <w:pPr>
              <w:pStyle w:val="99"/>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9"/>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99"/>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99"/>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99"/>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99"/>
              <w:pBdr>
                <w:bottom w:val="none" w:color="auto" w:sz="0" w:space="0"/>
              </w:pBdr>
              <w:tabs>
                <w:tab w:val="clear" w:pos="4153"/>
                <w:tab w:val="clear" w:pos="8306"/>
              </w:tabs>
              <w:adjustRightInd/>
              <w:spacing w:line="440" w:lineRule="exact"/>
              <w:jc w:val="both"/>
              <w:textAlignment w:val="auto"/>
              <w:rPr>
                <w:rFonts w:hint="eastAsia" w:ascii="宋体" w:hAnsi="宋体" w:cs="宋体"/>
                <w:color w:val="auto"/>
                <w:szCs w:val="24"/>
                <w:highlight w:val="none"/>
                <w:lang w:eastAsia="zh-CN"/>
              </w:rPr>
            </w:pPr>
            <w:r>
              <w:rPr>
                <w:rFonts w:hint="eastAsia" w:ascii="宋体" w:hAnsi="宋体"/>
                <w:bCs/>
                <w:kern w:val="2"/>
                <w:sz w:val="24"/>
                <w:szCs w:val="24"/>
                <w:highlight w:val="none"/>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于收到质疑文件后七个工作日内答复，请质疑人及时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3、请各潜在供应商在响应截止时间前，务必登录“</w:t>
            </w:r>
            <w:r>
              <w:rPr>
                <w:rFonts w:hint="eastAsia" w:ascii="宋体" w:hAnsi="宋体"/>
                <w:bCs/>
                <w:kern w:val="2"/>
                <w:szCs w:val="24"/>
                <w:lang w:eastAsia="zh-CN"/>
              </w:rPr>
              <w:t>霍山永达工程咨询有限公司网站（www.hsydgczx.com）</w:t>
            </w:r>
            <w:r>
              <w:rPr>
                <w:rFonts w:hint="eastAsia" w:ascii="宋体" w:hAnsi="宋体"/>
                <w:bCs/>
                <w:kern w:val="2"/>
                <w:szCs w:val="24"/>
              </w:rPr>
              <w:t>”</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2</w:t>
            </w:r>
            <w:r>
              <w:rPr>
                <w:rFonts w:hint="eastAsia" w:ascii="宋体" w:hAnsi="宋体"/>
                <w:szCs w:val="24"/>
              </w:rPr>
              <w:t>份</w:t>
            </w:r>
          </w:p>
          <w:p>
            <w:pPr>
              <w:pStyle w:val="99"/>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99"/>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r>
              <w:rPr>
                <w:rFonts w:hint="eastAsia" w:ascii="宋体" w:hAnsi="宋体"/>
                <w:szCs w:val="24"/>
                <w:lang w:eastAsia="zh-CN"/>
              </w:rPr>
              <w:t>（胶装）</w:t>
            </w:r>
            <w:r>
              <w:rPr>
                <w:rFonts w:hint="eastAsia" w:ascii="宋体" w:hAnsi="宋体"/>
                <w:szCs w:val="24"/>
              </w:rPr>
              <w:t>。</w:t>
            </w:r>
          </w:p>
          <w:p>
            <w:pPr>
              <w:pStyle w:val="99"/>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如果响应文件没有按规定装订、分装、标记和密封，采购人和代理机构不承担提前开封的责任。</w:t>
            </w:r>
          </w:p>
          <w:p>
            <w:pPr>
              <w:pStyle w:val="99"/>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eastAsia="zh-CN"/>
              </w:rPr>
              <w:t>现场递交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227" w:type="dxa"/>
            <w:vAlign w:val="center"/>
          </w:tcPr>
          <w:p>
            <w:pPr>
              <w:spacing w:line="56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4"/>
              <w:spacing w:line="48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4"/>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宋体" w:hAnsi="宋体" w:eastAsia="宋体"/>
                <w:bCs/>
                <w:color w:val="000000" w:themeColor="text1"/>
                <w:kern w:val="2"/>
                <w:szCs w:val="24"/>
                <w:lang w:eastAsia="zh-CN"/>
                <w14:textFill>
                  <w14:solidFill>
                    <w14:schemeClr w14:val="tx1"/>
                  </w14:solidFill>
                </w14:textFill>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w:t>
            </w:r>
            <w:r>
              <w:rPr>
                <w:rFonts w:hint="eastAsia" w:ascii="宋体" w:hAnsi="宋体"/>
                <w:bCs/>
                <w:color w:val="000000" w:themeColor="text1"/>
                <w:kern w:val="2"/>
                <w:szCs w:val="24"/>
                <w:lang w:eastAsia="zh-CN"/>
                <w14:textFill>
                  <w14:solidFill>
                    <w14:schemeClr w14:val="tx1"/>
                  </w14:solidFill>
                </w14:textFill>
              </w:rPr>
              <w:t>详见谈判公告</w:t>
            </w:r>
          </w:p>
          <w:p>
            <w:pPr>
              <w:pStyle w:val="99"/>
              <w:pBdr>
                <w:bottom w:val="none" w:color="auto" w:sz="0" w:space="0"/>
              </w:pBdr>
              <w:tabs>
                <w:tab w:val="clear" w:pos="4153"/>
                <w:tab w:val="clear" w:pos="8306"/>
              </w:tabs>
              <w:adjustRightInd/>
              <w:spacing w:line="440" w:lineRule="exact"/>
              <w:jc w:val="both"/>
              <w:textAlignment w:val="auto"/>
              <w:rPr>
                <w:rFonts w:ascii="宋体" w:hAnsi="宋体"/>
                <w:szCs w:val="24"/>
                <w:lang w:val="en-US"/>
              </w:rPr>
            </w:pPr>
            <w:r>
              <w:rPr>
                <w:rFonts w:hint="eastAsia" w:ascii="宋体" w:hAnsi="宋体"/>
                <w:bCs/>
                <w:color w:val="000000" w:themeColor="text1"/>
                <w:kern w:val="2"/>
                <w:szCs w:val="24"/>
                <w14:textFill>
                  <w14:solidFill>
                    <w14:schemeClr w14:val="tx1"/>
                  </w14:solidFill>
                </w14:textFill>
              </w:rPr>
              <w:t>地点：</w:t>
            </w:r>
            <w:r>
              <w:rPr>
                <w:rFonts w:hint="eastAsia" w:ascii="宋体" w:hAnsi="宋体"/>
                <w:bCs/>
                <w:color w:val="000000" w:themeColor="text1"/>
                <w:kern w:val="2"/>
                <w:szCs w:val="24"/>
                <w:lang w:eastAsia="zh-CN"/>
                <w14:textFill>
                  <w14:solidFill>
                    <w14:schemeClr w14:val="tx1"/>
                  </w14:solidFill>
                </w14:textFill>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rPr>
              <w:t>2</w:t>
            </w:r>
            <w:r>
              <w:rPr>
                <w:rFonts w:hint="eastAsia" w:ascii="宋体" w:hAnsi="宋体"/>
                <w:b/>
                <w:kern w:val="2"/>
                <w:szCs w:val="24"/>
                <w:lang w:val="en-US" w:eastAsia="zh-CN"/>
              </w:rPr>
              <w:t>2</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1、违约责任：若发现供应商属于出借资质或挂靠以及以各种理由推脱无法履约的（包含项目班子成员无法到岗、因工程质量问题无法验收以及工程延期等因素），采购人将供应商违约事实形成证据，除支付违约金外，采购人有权无条件终止合同，同时给予企业或项目班子成员记不良行为记录等处理。情节严重的将提请执法机关查处，直至追究刑事责任，并依法并向社会公开曝光。</w:t>
            </w:r>
          </w:p>
          <w:p>
            <w:pPr>
              <w:pStyle w:val="99"/>
              <w:pBdr>
                <w:bottom w:val="none" w:color="auto" w:sz="0" w:space="0"/>
              </w:pBdr>
              <w:tabs>
                <w:tab w:val="clear" w:pos="4153"/>
                <w:tab w:val="clear" w:pos="8306"/>
              </w:tabs>
              <w:adjustRightInd/>
              <w:spacing w:line="440" w:lineRule="exact"/>
              <w:jc w:val="both"/>
              <w:textAlignment w:val="auto"/>
              <w:rPr>
                <w:rFonts w:ascii="宋体" w:hAnsi="宋体"/>
                <w:b/>
                <w:kern w:val="2"/>
                <w:szCs w:val="24"/>
                <w:lang w:val="en-US"/>
              </w:rPr>
            </w:pPr>
            <w:r>
              <w:rPr>
                <w:rFonts w:ascii="宋体" w:hAnsi="宋体" w:eastAsia="宋体" w:cs="宋体"/>
                <w:sz w:val="24"/>
                <w:szCs w:val="24"/>
              </w:rPr>
              <w:t>2、供应商除配备1名项目经理外，还须配备技术负责人1名、施工员1名、安全员1名、质量员1名，响应文件中须载明上述人员，项目技术负责人应具有</w:t>
            </w:r>
            <w:r>
              <w:rPr>
                <w:rFonts w:hint="eastAsia" w:ascii="宋体" w:hAnsi="宋体" w:cs="宋体"/>
                <w:sz w:val="24"/>
                <w:szCs w:val="24"/>
                <w:lang w:val="en-US" w:eastAsia="zh-CN"/>
              </w:rPr>
              <w:t>公路工程</w:t>
            </w:r>
            <w:r>
              <w:rPr>
                <w:rFonts w:ascii="宋体" w:hAnsi="宋体" w:eastAsia="宋体" w:cs="宋体"/>
                <w:sz w:val="24"/>
                <w:szCs w:val="24"/>
              </w:rPr>
              <w:t>相关专业的中级及以上职称，专业不配套按不实质性响应谈判文件要求处理（需提供技术负责人职称证书）；无需提供施工员、安全员、质量员岗位证书，后期在项目实施过程中需遵守主管部门的相关要求。</w:t>
            </w:r>
            <w:r>
              <w:rPr>
                <w:rFonts w:hint="eastAsia" w:ascii="宋体" w:hAnsi="宋体" w:cs="宋体"/>
                <w:sz w:val="24"/>
                <w:szCs w:val="24"/>
                <w:lang w:val="en-US" w:eastAsia="zh-CN"/>
              </w:rPr>
              <w:t>若人员配备结构、人数和证明材料不符合上述要求，按不实质性响应谈判文件要求处理。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b/>
                <w:kern w:val="2"/>
                <w:szCs w:val="24"/>
                <w:lang w:val="en-US"/>
              </w:rPr>
            </w:pPr>
            <w:r>
              <w:rPr>
                <w:rFonts w:hint="eastAsia" w:ascii="宋体" w:hAnsi="宋体"/>
                <w:b/>
                <w:kern w:val="2"/>
                <w:szCs w:val="24"/>
                <w:lang w:val="en-US" w:eastAsia="zh-CN"/>
              </w:rPr>
              <w:t>23</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lang w:val="en-US"/>
              </w:rPr>
            </w:pPr>
            <w:r>
              <w:rPr>
                <w:rFonts w:hint="eastAsia" w:ascii="宋体" w:hAnsi="宋体" w:cs="宋体"/>
                <w:color w:val="FF0000"/>
                <w:sz w:val="24"/>
                <w:szCs w:val="24"/>
                <w:lang w:eastAsia="zh-CN"/>
              </w:rPr>
              <w:t>“双随机”抽取系数操作规程</w:t>
            </w:r>
          </w:p>
        </w:tc>
        <w:tc>
          <w:tcPr>
            <w:tcW w:w="7227" w:type="dxa"/>
            <w:vAlign w:val="center"/>
          </w:tcPr>
          <w:p>
            <w:pPr>
              <w:pStyle w:val="99"/>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cs="宋体"/>
                <w:color w:val="FF0000"/>
                <w:sz w:val="24"/>
                <w:szCs w:val="24"/>
                <w:lang w:val="en-US" w:eastAsia="zh-CN"/>
              </w:rPr>
            </w:pPr>
            <w:r>
              <w:rPr>
                <w:rFonts w:hint="eastAsia" w:ascii="宋体" w:hAnsi="宋体" w:cs="宋体"/>
                <w:color w:val="FF0000"/>
                <w:sz w:val="24"/>
                <w:szCs w:val="24"/>
                <w:lang w:eastAsia="zh-CN"/>
              </w:rPr>
              <w:t>“双随机”抽取系数操作规程统一如下：分两个环节，（</w:t>
            </w:r>
            <w:r>
              <w:rPr>
                <w:rFonts w:hint="eastAsia" w:ascii="宋体" w:hAnsi="宋体" w:cs="宋体"/>
                <w:color w:val="FF0000"/>
                <w:sz w:val="24"/>
                <w:szCs w:val="24"/>
                <w:lang w:val="en-US" w:eastAsia="zh-CN"/>
              </w:rPr>
              <w:t>1</w:t>
            </w:r>
            <w:r>
              <w:rPr>
                <w:rFonts w:hint="eastAsia" w:ascii="宋体" w:hAnsi="宋体" w:cs="宋体"/>
                <w:color w:val="FF0000"/>
                <w:sz w:val="24"/>
                <w:szCs w:val="24"/>
                <w:lang w:eastAsia="zh-CN"/>
              </w:rPr>
              <w:t>）在监督人员监督下，招标代理工作人员先检查摇号机状态，确认摇号机工作状态正常后，向摇号机中随机放入</w:t>
            </w:r>
            <w:r>
              <w:rPr>
                <w:rFonts w:hint="eastAsia" w:ascii="宋体" w:hAnsi="宋体" w:cs="宋体"/>
                <w:color w:val="FF0000"/>
                <w:sz w:val="24"/>
                <w:szCs w:val="24"/>
                <w:lang w:val="en-US" w:eastAsia="zh-CN"/>
              </w:rPr>
              <w:t>14个号码球（号码球无需连号），由采购人代表分7次按压抽取按钮，分别摇出7个号码球，摇出的7个号码球按出球先后顺序，分别对应</w:t>
            </w:r>
            <w:r>
              <w:rPr>
                <w:rFonts w:ascii="宋体" w:hAnsi="宋体" w:cs="宋体"/>
                <w:color w:val="FF0000"/>
                <w:sz w:val="24"/>
                <w:szCs w:val="24"/>
              </w:rPr>
              <w:t>92%，93%，94%，95%、96%、97%、98%</w:t>
            </w:r>
            <w:r>
              <w:rPr>
                <w:rFonts w:hint="eastAsia" w:ascii="宋体" w:hAnsi="宋体" w:cs="宋体"/>
                <w:color w:val="FF0000"/>
                <w:sz w:val="24"/>
                <w:szCs w:val="24"/>
                <w:lang w:eastAsia="zh-CN"/>
              </w:rPr>
              <w:t>共</w:t>
            </w:r>
            <w:r>
              <w:rPr>
                <w:rFonts w:hint="eastAsia" w:ascii="宋体" w:hAnsi="宋体" w:cs="宋体"/>
                <w:color w:val="FF0000"/>
                <w:sz w:val="24"/>
                <w:szCs w:val="24"/>
                <w:lang w:val="en-US" w:eastAsia="zh-CN"/>
              </w:rPr>
              <w:t>7个系数：（2）招标代理工作人员清空摇号机后，再将上述摇出的7个号码球依次放入摇号机中，再由采购人代表从中摇出一个号码球，摇出的这个号码球对应的系数，即为本项目的抽中系数。</w:t>
            </w:r>
          </w:p>
          <w:p>
            <w:pPr>
              <w:pStyle w:val="99"/>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b/>
                <w:kern w:val="2"/>
                <w:szCs w:val="24"/>
                <w:lang w:val="en-US"/>
              </w:rPr>
            </w:pPr>
            <w:r>
              <w:rPr>
                <w:rFonts w:hint="eastAsia" w:ascii="宋体" w:hAnsi="宋体" w:cs="宋体"/>
                <w:color w:val="FF0000"/>
                <w:sz w:val="24"/>
                <w:szCs w:val="24"/>
                <w:lang w:val="en-US" w:eastAsia="zh-CN"/>
              </w:rPr>
              <w:t>（3）抽取工作相关要求。一是除遇设备或网络故障外，招标代理机构应保证整个抽取过程视频通过网上开标大厅向所有供应商开放，保证抽取工作公开透明；二是招标代理机构要将上述抽取过程简要情况（特别是依次摇出的7个号码球球号分别是多少？最终摇中的号码球球号及对应系数同步实时公布）在网上开标大厅实时同步公布，如遇系统故障，无法实时公布，应报现场监督人员确认并记录在案备查；三是上述系数抽取过程，招标代理应制作抽取结果记录表，由采购人代表、监督人员、招标代理工作人员三方签字确认；四是除摇号机突遇故障无法继续使用并报现场监督人员和交易中心管理人员检查确认外，同一个项目整个摇号抽取过程中应使用同一台摇号机，中途不得更换。五是除遇设备或网络故障外，招标代理机构原则上应在最终报价结束时间截止后半小时内组织完成系数抽取工作，并向所有供应商公布抽取结果；六是如有招标人或招标代理机构未按上述统一规程要求开展“双随机”抽取系数，经监督部门调查确认属实的，抽取结果及依据此抽取结果进一步作出的评审结论一律无效，监督部门将视情作出重新组织抽取或项目重新组织采购的处理决定，并对相关违规人员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cs="Times New Roman"/>
                <w:b/>
                <w:kern w:val="2"/>
                <w:sz w:val="24"/>
                <w:szCs w:val="24"/>
                <w:lang w:val="en-US" w:eastAsia="zh-CN" w:bidi="ar-SA"/>
              </w:rPr>
            </w:pPr>
            <w:r>
              <w:rPr>
                <w:rFonts w:hint="eastAsia" w:ascii="宋体" w:hAnsi="宋体"/>
                <w:b/>
                <w:kern w:val="2"/>
                <w:szCs w:val="24"/>
                <w:lang w:val="en-US" w:eastAsia="zh-CN"/>
              </w:rPr>
              <w:t>24</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kern w:val="2"/>
                <w:sz w:val="24"/>
                <w:szCs w:val="24"/>
                <w:lang w:val="en-US" w:eastAsia="zh-CN" w:bidi="ar-SA"/>
              </w:rPr>
            </w:pPr>
            <w:r>
              <w:rPr>
                <w:rFonts w:hint="eastAsia" w:ascii="宋体" w:hAnsi="宋体"/>
                <w:bCs/>
                <w:kern w:val="2"/>
                <w:szCs w:val="24"/>
                <w:lang w:val="en-US" w:eastAsia="zh-CN"/>
              </w:rPr>
              <w:t>谈判文件解释权</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宋体" w:hAnsi="宋体" w:eastAsia="宋体" w:cs="Times New Roman"/>
                <w:b/>
                <w:kern w:val="2"/>
                <w:sz w:val="24"/>
                <w:szCs w:val="24"/>
                <w:lang w:val="en-US" w:eastAsia="zh-CN" w:bidi="ar-SA"/>
              </w:rPr>
            </w:pPr>
            <w:r>
              <w:rPr>
                <w:rFonts w:ascii="宋体" w:hAnsi="宋体" w:eastAsia="宋体" w:cs="宋体"/>
                <w:sz w:val="24"/>
                <w:szCs w:val="24"/>
              </w:rPr>
              <w:t>本谈判文件的解释权归采购人。</w:t>
            </w:r>
          </w:p>
        </w:tc>
      </w:tr>
    </w:tbl>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bookmarkStart w:id="59" w:name="_Toc7878"/>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spacing w:before="0" w:after="0" w:line="430" w:lineRule="exact"/>
        <w:ind w:firstLine="241" w:firstLineChars="100"/>
        <w:jc w:val="center"/>
        <w:rPr>
          <w:rFonts w:ascii="宋体" w:hAnsi="宋体" w:eastAsia="宋体" w:cs="宋体"/>
          <w:sz w:val="24"/>
          <w:szCs w:val="24"/>
        </w:rPr>
      </w:pPr>
      <w:r>
        <w:rPr>
          <w:rFonts w:hint="eastAsia" w:ascii="宋体" w:hAnsi="宋体" w:eastAsia="宋体" w:cs="宋体"/>
          <w:sz w:val="24"/>
          <w:szCs w:val="24"/>
        </w:rPr>
        <w:t>（二）供应商资格</w:t>
      </w:r>
      <w:bookmarkEnd w:id="59"/>
    </w:p>
    <w:bookmarkEnd w:id="56"/>
    <w:p>
      <w:pPr>
        <w:pStyle w:val="2"/>
        <w:spacing w:after="0" w:line="430" w:lineRule="exact"/>
        <w:ind w:firstLine="480" w:firstLineChars="200"/>
        <w:jc w:val="center"/>
      </w:pPr>
      <w:bookmarkStart w:id="60" w:name="_Toc363199266"/>
      <w:bookmarkStart w:id="61" w:name="_Toc216158625"/>
      <w:bookmarkStart w:id="62" w:name="_Toc438648662"/>
      <w:r>
        <w:rPr>
          <w:rFonts w:hint="eastAsia"/>
        </w:rPr>
        <w:t>见本项目采购公告</w:t>
      </w:r>
    </w:p>
    <w:p>
      <w:pPr>
        <w:pStyle w:val="6"/>
        <w:spacing w:before="0" w:after="0" w:line="430" w:lineRule="exact"/>
        <w:jc w:val="center"/>
        <w:rPr>
          <w:rFonts w:ascii="宋体" w:hAnsi="宋体" w:eastAsia="宋体" w:cs="宋体"/>
          <w:sz w:val="24"/>
          <w:szCs w:val="24"/>
        </w:rPr>
      </w:pPr>
      <w:bookmarkStart w:id="63" w:name="_Toc27352"/>
      <w:r>
        <w:rPr>
          <w:rFonts w:hint="eastAsia" w:ascii="宋体" w:hAnsi="宋体" w:eastAsia="宋体" w:cs="宋体"/>
          <w:sz w:val="24"/>
          <w:szCs w:val="24"/>
        </w:rPr>
        <w:t>（三）供应商必须提交的响应文件内容</w:t>
      </w:r>
      <w:bookmarkEnd w:id="60"/>
      <w:bookmarkEnd w:id="61"/>
      <w:bookmarkEnd w:id="62"/>
      <w:bookmarkEnd w:id="63"/>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ascii="宋体" w:hAnsi="宋体"/>
          <w:sz w:val="24"/>
          <w:szCs w:val="24"/>
        </w:rPr>
      </w:pPr>
      <w:r>
        <w:rPr>
          <w:rFonts w:hint="eastAsia" w:ascii="宋体" w:hAnsi="宋体"/>
          <w:sz w:val="24"/>
          <w:szCs w:val="24"/>
        </w:rPr>
        <w:t>8、谈判文件要求和供应商认为需要提供的其它说明和资料。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rPr>
        <w:t>9、最终报价</w:t>
      </w:r>
      <w:r>
        <w:rPr>
          <w:rFonts w:hint="eastAsia" w:ascii="宋体" w:hAnsi="宋体"/>
          <w:sz w:val="24"/>
          <w:szCs w:val="24"/>
          <w:lang w:val="en-US" w:eastAsia="zh-CN"/>
        </w:rPr>
        <w:t>书</w:t>
      </w:r>
      <w:r>
        <w:rPr>
          <w:rFonts w:hint="eastAsia" w:ascii="宋体" w:hAnsi="宋体"/>
          <w:sz w:val="24"/>
          <w:szCs w:val="24"/>
        </w:rPr>
        <w:t xml:space="preserve"> </w:t>
      </w:r>
    </w:p>
    <w:p>
      <w:pPr>
        <w:pStyle w:val="6"/>
        <w:spacing w:before="0" w:after="0" w:line="430" w:lineRule="exact"/>
        <w:jc w:val="center"/>
        <w:rPr>
          <w:rFonts w:ascii="宋体" w:hAnsi="宋体" w:eastAsia="宋体" w:cs="宋体"/>
          <w:sz w:val="24"/>
          <w:szCs w:val="24"/>
        </w:rPr>
      </w:pPr>
      <w:bookmarkStart w:id="64" w:name="_Toc21125"/>
      <w:r>
        <w:rPr>
          <w:rFonts w:hint="eastAsia" w:ascii="宋体" w:hAnsi="宋体" w:eastAsia="宋体" w:cs="宋体"/>
          <w:sz w:val="24"/>
          <w:szCs w:val="24"/>
        </w:rPr>
        <w:t>（四）响应文件的提交</w:t>
      </w:r>
      <w:bookmarkEnd w:id="64"/>
    </w:p>
    <w:p>
      <w:pPr>
        <w:spacing w:line="430" w:lineRule="exact"/>
        <w:ind w:firstLine="480" w:firstLineChars="200"/>
        <w:rPr>
          <w:rFonts w:ascii="宋体" w:hAnsi="宋体"/>
          <w:sz w:val="24"/>
          <w:szCs w:val="24"/>
        </w:rPr>
      </w:pPr>
      <w:bookmarkStart w:id="65"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pStyle w:val="6"/>
        <w:spacing w:before="0" w:after="0" w:line="430" w:lineRule="exact"/>
        <w:jc w:val="left"/>
        <w:rPr>
          <w:rFonts w:hint="eastAsia" w:ascii="宋体" w:hAnsi="宋体" w:eastAsia="宋体" w:cs="宋体"/>
          <w:b w:val="0"/>
          <w:bCs/>
          <w:sz w:val="24"/>
          <w:szCs w:val="24"/>
        </w:rPr>
      </w:pPr>
      <w:r>
        <w:rPr>
          <w:rFonts w:hint="eastAsia" w:ascii="宋体" w:hAnsi="宋体" w:eastAsia="宋体" w:cs="Times New Roman"/>
          <w:b w:val="0"/>
          <w:kern w:val="2"/>
          <w:sz w:val="24"/>
          <w:szCs w:val="24"/>
          <w:lang w:val="en-US" w:eastAsia="zh-CN" w:bidi="ar-SA"/>
        </w:rPr>
        <w:t>3.3提交响应文件截止时间后不得修改响应文件。但属于谈判小组在评审中发现的计算错误并进行核实的修改、按照谈判文件的变动情况和谈判小组的要求重新提交响应文件的，不在此列。</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5"/>
    </w:p>
    <w:p>
      <w:pPr>
        <w:tabs>
          <w:tab w:val="left" w:pos="900"/>
        </w:tabs>
        <w:spacing w:line="430" w:lineRule="exact"/>
        <w:ind w:firstLine="480" w:firstLineChars="200"/>
        <w:rPr>
          <w:rFonts w:ascii="宋体" w:hAnsi="宋体"/>
          <w:sz w:val="24"/>
          <w:szCs w:val="24"/>
        </w:rPr>
      </w:pPr>
      <w:bookmarkStart w:id="66"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2、供应商须符合下列条件：（1）营业执照符合采购文件要求；（2）资质等级符合采购文件规定；（3）供应商的项目经理资格符合采购文件规定；（4）供应商响应报价中清单内容与发布的工程量清单保持一致，未进行实质性修改和删减；（5）供应商工程量清单中的暂列金额与暂估价与采购人公布的一致；（6）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keepNext w:val="0"/>
        <w:keepLines w:val="0"/>
        <w:pageBreakBefore w:val="0"/>
        <w:tabs>
          <w:tab w:val="left" w:pos="900"/>
        </w:tabs>
        <w:kinsoku/>
        <w:wordWrap/>
        <w:overflowPunct/>
        <w:topLinePunct w:val="0"/>
        <w:autoSpaceDE/>
        <w:autoSpaceDN/>
        <w:bidi w:val="0"/>
        <w:adjustRightInd/>
        <w:snapToGrid/>
        <w:spacing w:line="440" w:lineRule="exact"/>
        <w:ind w:left="0" w:firstLine="482" w:firstLineChars="200"/>
        <w:textAlignment w:val="auto"/>
        <w:rPr>
          <w:rFonts w:ascii="宋体" w:hAnsi="宋体"/>
          <w:b/>
          <w:bCs/>
          <w:color w:val="0070C0"/>
          <w:sz w:val="24"/>
          <w:szCs w:val="24"/>
          <w:u w:val="single"/>
        </w:rPr>
      </w:pPr>
      <w:r>
        <w:rPr>
          <w:rFonts w:hint="eastAsia" w:ascii="宋体" w:hAnsi="宋体"/>
          <w:b/>
          <w:bCs/>
          <w:color w:val="0070C0"/>
          <w:sz w:val="24"/>
          <w:szCs w:val="24"/>
        </w:rPr>
        <w:t>6、谈判结束后，谈判小组将要求所有符合条件的供应商在规定的时间内进行最后的报价。</w:t>
      </w:r>
      <w:r>
        <w:rPr>
          <w:rFonts w:hint="eastAsia" w:ascii="宋体" w:hAnsi="宋体"/>
          <w:b/>
          <w:bCs/>
          <w:color w:val="0070C0"/>
          <w:sz w:val="24"/>
          <w:szCs w:val="24"/>
          <w:u w:val="single"/>
        </w:rPr>
        <w:t>供应商应在谈判小组发出二轮报价指令后30分钟内完成报价，若供应商未在谈判小组规定的时间内提交最后的报价，则其前一轮报价即为该供应商最后的报价（后一轮报价不得高于前一轮报价，否则，报价无效）。</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谈判小组按以下步骤对各供应商最终报价依序进行评审：</w:t>
      </w:r>
      <w:r>
        <w:rPr>
          <w:rFonts w:ascii="宋体" w:hAnsi="宋体" w:cs="宋体"/>
          <w:color w:val="auto"/>
          <w:sz w:val="24"/>
          <w:szCs w:val="24"/>
        </w:rPr>
        <w:br w:type="textWrapping"/>
      </w:r>
      <w:r>
        <w:rPr>
          <w:rFonts w:ascii="宋体" w:hAnsi="宋体" w:cs="宋体"/>
          <w:color w:val="auto"/>
          <w:sz w:val="24"/>
          <w:szCs w:val="24"/>
        </w:rPr>
        <w:t>第一步，认定有效报价。各供应商的所有报价不得超过最高限价，且最终报价不得</w:t>
      </w:r>
    </w:p>
    <w:p>
      <w:pPr>
        <w:keepNext w:val="0"/>
        <w:keepLines w:val="0"/>
        <w:pageBreakBefore w:val="0"/>
        <w:widowControl/>
        <w:suppressLineNumbers w:val="0"/>
        <w:kinsoku/>
        <w:wordWrap/>
        <w:overflowPunct/>
        <w:topLinePunct w:val="0"/>
        <w:autoSpaceDE/>
        <w:autoSpaceDN/>
        <w:bidi w:val="0"/>
        <w:adjustRightInd/>
        <w:snapToGrid/>
        <w:spacing w:line="440" w:lineRule="exact"/>
        <w:ind w:left="480" w:leftChars="0" w:hanging="480" w:hangingChars="200"/>
        <w:jc w:val="left"/>
        <w:textAlignment w:val="auto"/>
      </w:pPr>
      <w:r>
        <w:rPr>
          <w:rFonts w:ascii="宋体" w:hAnsi="宋体" w:cs="宋体"/>
          <w:color w:val="auto"/>
          <w:sz w:val="24"/>
          <w:szCs w:val="24"/>
        </w:rPr>
        <w:t>高上一轮报价，否则报价无效；</w:t>
      </w:r>
      <w:r>
        <w:rPr>
          <w:rFonts w:ascii="宋体" w:hAnsi="宋体" w:cs="宋体"/>
          <w:color w:val="auto"/>
          <w:sz w:val="24"/>
          <w:szCs w:val="24"/>
        </w:rPr>
        <w:br w:type="textWrapping"/>
      </w:r>
      <w:r>
        <w:rPr>
          <w:rFonts w:hint="eastAsia" w:ascii="宋体" w:hAnsi="宋体" w:eastAsia="宋体" w:cs="宋体"/>
          <w:color w:val="FF0000"/>
          <w:kern w:val="0"/>
          <w:sz w:val="24"/>
          <w:szCs w:val="24"/>
          <w:lang w:val="en-US" w:eastAsia="zh-CN" w:bidi="ar"/>
        </w:rPr>
        <w:t xml:space="preserve">第二步，认定低于成本价的投标报价。供应商最终报价是否低于成本价，按如下规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则进行判定：供应商最终报价提交完毕后，由</w:t>
      </w:r>
      <w:r>
        <w:rPr>
          <w:rFonts w:hint="eastAsia" w:ascii="宋体" w:hAnsi="宋体" w:eastAsia="宋体" w:cs="宋体"/>
          <w:b/>
          <w:bCs/>
          <w:color w:val="FF0000"/>
          <w:kern w:val="0"/>
          <w:sz w:val="24"/>
          <w:szCs w:val="24"/>
          <w:lang w:val="en-US" w:eastAsia="zh-CN" w:bidi="ar"/>
        </w:rPr>
        <w:t>采购人代表</w:t>
      </w:r>
      <w:r>
        <w:rPr>
          <w:rFonts w:hint="eastAsia" w:ascii="宋体" w:hAnsi="宋体" w:eastAsia="宋体" w:cs="宋体"/>
          <w:color w:val="FF0000"/>
          <w:kern w:val="0"/>
          <w:sz w:val="24"/>
          <w:szCs w:val="24"/>
          <w:lang w:val="en-US" w:eastAsia="zh-CN" w:bidi="ar"/>
        </w:rPr>
        <w:t xml:space="preserve">在监督人员监督下，在开标现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场采用</w:t>
      </w:r>
      <w:r>
        <w:rPr>
          <w:rFonts w:hint="eastAsia" w:ascii="宋体" w:hAnsi="宋体" w:eastAsia="宋体" w:cs="宋体"/>
          <w:b/>
          <w:bCs/>
          <w:color w:val="FF0000"/>
          <w:kern w:val="0"/>
          <w:sz w:val="24"/>
          <w:szCs w:val="24"/>
          <w:lang w:val="en-US" w:eastAsia="zh-CN" w:bidi="ar"/>
        </w:rPr>
        <w:t>“双随机”方法抽取系数</w:t>
      </w:r>
      <w:r>
        <w:rPr>
          <w:rFonts w:hint="eastAsia" w:ascii="宋体" w:hAnsi="宋体" w:eastAsia="宋体" w:cs="宋体"/>
          <w:color w:val="FF0000"/>
          <w:kern w:val="0"/>
          <w:sz w:val="24"/>
          <w:szCs w:val="24"/>
          <w:lang w:val="en-US" w:eastAsia="zh-CN" w:bidi="ar"/>
        </w:rPr>
        <w:t xml:space="preserve">（系数值共 7 个，分别为：92%，93%，94%，95%、96%、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 xml:space="preserve">97%、98%）。凡供应商最终报价低于所有有效的供应商最终报价算术平均数与抽中系数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 xml:space="preserve">的乘积的（计算结果保留两位小数），均按低于成本价判定，该供应商报价按无效报价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处理，不再进行后续评审，不得被推荐为成交供应商。</w:t>
      </w:r>
    </w:p>
    <w:p>
      <w:pPr>
        <w:pStyle w:val="99"/>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FF0000"/>
          <w:sz w:val="24"/>
          <w:szCs w:val="24"/>
          <w:lang w:val="en-US" w:eastAsia="zh-CN"/>
        </w:rPr>
      </w:pPr>
      <w:r>
        <w:rPr>
          <w:rFonts w:hint="eastAsia" w:ascii="宋体" w:hAnsi="宋体" w:cs="宋体"/>
          <w:color w:val="FF0000"/>
          <w:sz w:val="24"/>
          <w:szCs w:val="24"/>
          <w:lang w:eastAsia="zh-CN"/>
        </w:rPr>
        <w:t>“双随机”抽取系数操作规程统一如下：分两个环节，（</w:t>
      </w:r>
      <w:r>
        <w:rPr>
          <w:rFonts w:hint="eastAsia" w:ascii="宋体" w:hAnsi="宋体" w:cs="宋体"/>
          <w:color w:val="FF0000"/>
          <w:sz w:val="24"/>
          <w:szCs w:val="24"/>
          <w:lang w:val="en-US" w:eastAsia="zh-CN"/>
        </w:rPr>
        <w:t>1</w:t>
      </w:r>
      <w:r>
        <w:rPr>
          <w:rFonts w:hint="eastAsia" w:ascii="宋体" w:hAnsi="宋体" w:cs="宋体"/>
          <w:color w:val="FF0000"/>
          <w:sz w:val="24"/>
          <w:szCs w:val="24"/>
          <w:lang w:eastAsia="zh-CN"/>
        </w:rPr>
        <w:t>）在监督人员监督下，招标代理工作人员先检查摇号机状态，确认摇号机工作状态正常后，向摇号机中随机放入</w:t>
      </w:r>
      <w:r>
        <w:rPr>
          <w:rFonts w:hint="eastAsia" w:ascii="宋体" w:hAnsi="宋体" w:cs="宋体"/>
          <w:color w:val="FF0000"/>
          <w:sz w:val="24"/>
          <w:szCs w:val="24"/>
          <w:lang w:val="en-US" w:eastAsia="zh-CN"/>
        </w:rPr>
        <w:t>14个号码球（号码球无需连号），由采购人代表分7次按压抽取按钮，分别摇出7个号码球，摇出的7个号码球按出球先后顺序，分别对应</w:t>
      </w:r>
      <w:r>
        <w:rPr>
          <w:rFonts w:ascii="宋体" w:hAnsi="宋体" w:cs="宋体"/>
          <w:color w:val="FF0000"/>
          <w:sz w:val="24"/>
          <w:szCs w:val="24"/>
        </w:rPr>
        <w:t>92%，93%，94%，95%、96%、97%、98%</w:t>
      </w:r>
      <w:r>
        <w:rPr>
          <w:rFonts w:hint="eastAsia" w:ascii="宋体" w:hAnsi="宋体" w:cs="宋体"/>
          <w:color w:val="FF0000"/>
          <w:sz w:val="24"/>
          <w:szCs w:val="24"/>
          <w:lang w:eastAsia="zh-CN"/>
        </w:rPr>
        <w:t>共</w:t>
      </w:r>
      <w:r>
        <w:rPr>
          <w:rFonts w:hint="eastAsia" w:ascii="宋体" w:hAnsi="宋体" w:cs="宋体"/>
          <w:color w:val="FF0000"/>
          <w:sz w:val="24"/>
          <w:szCs w:val="24"/>
          <w:lang w:val="en-US" w:eastAsia="zh-CN"/>
        </w:rPr>
        <w:t>7个系数：（2）招标代理工作人员清空摇号机后，再将上述摇出的7个号码球依次放入摇号机中，再由采购人代表从中摇出一个号码球，摇出的这个号码球对应的系数，即为本项目的抽中系数。</w:t>
      </w:r>
    </w:p>
    <w:p>
      <w:pPr>
        <w:pStyle w:val="99"/>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ind w:left="0" w:leftChars="0" w:firstLine="480" w:firstLineChars="200"/>
        <w:jc w:val="both"/>
        <w:textAlignment w:val="auto"/>
      </w:pPr>
      <w:r>
        <w:rPr>
          <w:rFonts w:hint="eastAsia" w:ascii="宋体" w:hAnsi="宋体" w:cs="宋体"/>
          <w:color w:val="FF0000"/>
          <w:sz w:val="24"/>
          <w:szCs w:val="24"/>
          <w:lang w:val="en-US" w:eastAsia="zh-CN"/>
        </w:rPr>
        <w:t>（3）抽取工作相关要求。一是除遇设备或网络故障外，招标代理机构应保证整个抽取过程视频通过网上开标大厅向所有供应商开放，保证抽取工作公开透明；二是招标代理机构要将上述抽取过程简要情况（特别是依次摇出的7个号码球球号分别是多少？最终摇中的号码球球号及对应系数同步实时公布）在网上开标大厅实时同步公布，如遇系统故障，无法实时公布，应报现场监督人员确认并记录在案备查；三是上述系数抽取过程，招标代理应制作抽取结果记录表，由采购人代表、监督人员、招标代理工作人员三方签字确认；四是除摇号机突遇故障无法继续使用并报现场监督人员和交易中心管理人员检查确认外，同一个项目整个摇号抽取过程中应使用同一台摇号机，中途不得更换。五是除遇设备或网络故障外，招标代理机构原则上应在最终报价结束时间截止后半小时内组织完成系数抽取工作，并向所有供应商公布抽取结果；六是如有招标人或招标代理机构未按上述统一规程要求开展“双随机”抽取系数，经监督部门调查确认属实的，抽取结果及依据此抽取结果进一步作出的评审结论一律无效，监督部门将视情作出重新组织抽取或项目重新组织采购的处理决定，并对相关违规人员予以处理。</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left="0" w:leftChars="0" w:firstLine="480" w:firstLineChars="200"/>
        <w:textAlignment w:val="auto"/>
        <w:rPr>
          <w:rFonts w:ascii="宋体" w:hAnsi="宋体" w:cs="宋体"/>
          <w:color w:val="auto"/>
          <w:sz w:val="24"/>
          <w:szCs w:val="24"/>
        </w:rPr>
      </w:pPr>
      <w:r>
        <w:rPr>
          <w:rFonts w:ascii="宋体" w:hAnsi="宋体" w:cs="宋体"/>
          <w:color w:val="auto"/>
          <w:sz w:val="24"/>
          <w:szCs w:val="24"/>
        </w:rPr>
        <w:t>第三步，特殊情况处理。若上述评审均合格的前三名供应商中，排序第一的（即：</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经评审合格的最终报价最低的）供应商有两家或两家以上时，则由采购人按照公开、公</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平、公正的原则，于开标当天在开标现场在监督人员监督下公开确定成交供应商。具体</w:t>
      </w:r>
    </w:p>
    <w:p>
      <w:pPr>
        <w:keepNext w:val="0"/>
        <w:keepLines w:val="0"/>
        <w:pageBreakBefore w:val="0"/>
        <w:tabs>
          <w:tab w:val="left" w:pos="900"/>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4"/>
          <w:szCs w:val="24"/>
        </w:rPr>
      </w:pPr>
      <w:r>
        <w:rPr>
          <w:rFonts w:ascii="宋体" w:hAnsi="宋体" w:cs="宋体"/>
          <w:color w:val="auto"/>
          <w:sz w:val="24"/>
          <w:szCs w:val="24"/>
        </w:rPr>
        <w:t>的公开确定方式由采购人决定。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7、供应商必须在规定的时间内将自己在谈判中作出的澄清、变动以及最终的报价，经法定代表人或被授权代表签字后，提交给谈判小组。</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6"/>
    </w:p>
    <w:bookmarkEnd w:id="57"/>
    <w:bookmarkEnd w:id="58"/>
    <w:p>
      <w:pPr>
        <w:spacing w:line="430" w:lineRule="exact"/>
        <w:ind w:firstLine="480" w:firstLineChars="200"/>
        <w:rPr>
          <w:rFonts w:ascii="宋体" w:hAnsi="宋体" w:cs="Arial"/>
          <w:sz w:val="24"/>
          <w:szCs w:val="24"/>
        </w:rPr>
      </w:pPr>
      <w:bookmarkStart w:id="67"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w:t>
      </w:r>
    </w:p>
    <w:p>
      <w:pPr>
        <w:spacing w:line="43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spacing w:line="43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spacing w:line="43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spacing w:line="43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pPr>
        <w:spacing w:line="43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spacing w:line="430" w:lineRule="exact"/>
        <w:ind w:firstLine="480" w:firstLineChars="200"/>
        <w:rPr>
          <w:rFonts w:ascii="宋体" w:hAnsi="宋体"/>
          <w:sz w:val="24"/>
          <w:szCs w:val="24"/>
        </w:rPr>
      </w:pPr>
      <w:r>
        <w:rPr>
          <w:rFonts w:hint="eastAsia" w:ascii="宋体" w:hAnsi="宋体"/>
          <w:sz w:val="24"/>
          <w:szCs w:val="24"/>
        </w:rPr>
        <w:t>（5）因重大变故，采购任务取消的。</w:t>
      </w:r>
    </w:p>
    <w:p>
      <w:pPr>
        <w:spacing w:line="430" w:lineRule="exact"/>
        <w:ind w:firstLine="480" w:firstLineChars="200"/>
        <w:rPr>
          <w:rFonts w:ascii="宋体" w:hAnsi="宋体"/>
          <w:sz w:val="24"/>
          <w:szCs w:val="24"/>
        </w:rPr>
      </w:pPr>
      <w:r>
        <w:rPr>
          <w:rFonts w:hint="eastAsia" w:ascii="宋体" w:hAnsi="宋体"/>
          <w:sz w:val="24"/>
          <w:szCs w:val="24"/>
        </w:rPr>
        <w:t>3、重新组织谈判，采购单位将通过</w:t>
      </w:r>
      <w:r>
        <w:rPr>
          <w:rFonts w:hint="eastAsia" w:ascii="宋体" w:hAnsi="宋体"/>
          <w:sz w:val="24"/>
          <w:szCs w:val="24"/>
          <w:lang w:eastAsia="zh-CN"/>
        </w:rPr>
        <w:t>霍山永达工程咨询有限公司网站</w:t>
      </w:r>
      <w:r>
        <w:rPr>
          <w:rFonts w:hint="eastAsia" w:ascii="宋体" w:hAnsi="宋体"/>
          <w:sz w:val="24"/>
          <w:szCs w:val="24"/>
        </w:rPr>
        <w:t>进行公告。</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7"/>
    </w:p>
    <w:p>
      <w:pPr>
        <w:spacing w:line="43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w:t>
      </w:r>
      <w:r>
        <w:rPr>
          <w:rFonts w:hint="eastAsia" w:ascii="宋体" w:hAnsi="宋体" w:cs="宋体"/>
          <w:sz w:val="24"/>
          <w:szCs w:val="24"/>
          <w:lang w:val="en-US" w:eastAsia="zh-CN"/>
        </w:rPr>
        <w:t>谈判</w:t>
      </w:r>
      <w:r>
        <w:rPr>
          <w:rFonts w:ascii="宋体" w:hAnsi="宋体" w:cs="宋体"/>
          <w:sz w:val="24"/>
          <w:szCs w:val="24"/>
        </w:rPr>
        <w:t>文件，了解拟</w:t>
      </w:r>
      <w:r>
        <w:rPr>
          <w:rFonts w:hint="eastAsia" w:ascii="宋体" w:hAnsi="宋体" w:cs="宋体"/>
          <w:sz w:val="24"/>
          <w:szCs w:val="24"/>
          <w:lang w:val="en-US" w:eastAsia="zh-CN"/>
        </w:rPr>
        <w:t>响应</w:t>
      </w:r>
      <w:r>
        <w:rPr>
          <w:rFonts w:ascii="宋体" w:hAnsi="宋体" w:cs="宋体"/>
          <w:sz w:val="24"/>
          <w:szCs w:val="24"/>
        </w:rPr>
        <w:t>项目的全部工程内容。供应商的响应报价应是</w:t>
      </w:r>
      <w:r>
        <w:rPr>
          <w:rFonts w:hint="eastAsia" w:ascii="宋体" w:hAnsi="宋体" w:cs="宋体"/>
          <w:sz w:val="24"/>
          <w:szCs w:val="24"/>
          <w:lang w:eastAsia="zh-CN"/>
        </w:rPr>
        <w:t>谈判文件</w:t>
      </w:r>
      <w:r>
        <w:rPr>
          <w:rFonts w:ascii="宋体" w:hAnsi="宋体" w:cs="宋体"/>
          <w:sz w:val="24"/>
          <w:szCs w:val="24"/>
        </w:rPr>
        <w:t>所确定的</w:t>
      </w:r>
      <w:r>
        <w:rPr>
          <w:rFonts w:hint="eastAsia" w:ascii="宋体" w:hAnsi="宋体" w:cs="宋体"/>
          <w:sz w:val="24"/>
          <w:szCs w:val="24"/>
          <w:lang w:val="en-US" w:eastAsia="zh-CN"/>
        </w:rPr>
        <w:t>采购需求</w:t>
      </w:r>
      <w:r>
        <w:rPr>
          <w:rFonts w:ascii="宋体" w:hAnsi="宋体" w:cs="宋体"/>
          <w:sz w:val="24"/>
          <w:szCs w:val="24"/>
        </w:rPr>
        <w:t>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6"/>
        <w:spacing w:before="0" w:after="0" w:line="430" w:lineRule="exact"/>
        <w:jc w:val="center"/>
        <w:rPr>
          <w:rFonts w:ascii="宋体" w:hAnsi="宋体" w:eastAsia="宋体" w:cs="宋体"/>
          <w:sz w:val="24"/>
          <w:szCs w:val="24"/>
        </w:rPr>
      </w:pPr>
      <w:bookmarkStart w:id="68" w:name="_Toc8394"/>
      <w:r>
        <w:rPr>
          <w:rFonts w:hint="eastAsia" w:ascii="宋体" w:hAnsi="宋体" w:eastAsia="宋体" w:cs="宋体"/>
          <w:sz w:val="24"/>
          <w:szCs w:val="24"/>
        </w:rPr>
        <w:t>（八）合同的签订</w:t>
      </w:r>
      <w:bookmarkEnd w:id="68"/>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lang w:val="en-US" w:eastAsia="zh-CN"/>
        </w:rPr>
        <w:t>30</w:t>
      </w:r>
      <w:r>
        <w:rPr>
          <w:rFonts w:hint="eastAsia" w:ascii="宋体" w:hAnsi="宋体"/>
          <w:sz w:val="24"/>
          <w:szCs w:val="24"/>
        </w:rPr>
        <w:t>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6"/>
        <w:spacing w:before="0" w:after="0" w:line="430" w:lineRule="exact"/>
        <w:jc w:val="center"/>
        <w:rPr>
          <w:rFonts w:ascii="宋体" w:hAnsi="宋体" w:eastAsia="宋体" w:cs="宋体"/>
          <w:sz w:val="24"/>
          <w:szCs w:val="24"/>
        </w:rPr>
      </w:pPr>
      <w:bookmarkStart w:id="69" w:name="_Toc30371"/>
      <w:r>
        <w:rPr>
          <w:rFonts w:hint="eastAsia" w:ascii="宋体" w:hAnsi="宋体" w:eastAsia="宋体" w:cs="宋体"/>
          <w:sz w:val="24"/>
          <w:szCs w:val="24"/>
        </w:rPr>
        <w:t>（九）澄清及变更</w:t>
      </w:r>
      <w:bookmarkEnd w:id="69"/>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6"/>
        <w:spacing w:before="0" w:after="0" w:line="430" w:lineRule="exact"/>
        <w:jc w:val="center"/>
        <w:rPr>
          <w:rFonts w:ascii="宋体" w:hAnsi="宋体" w:eastAsia="宋体" w:cs="宋体"/>
          <w:sz w:val="24"/>
          <w:szCs w:val="24"/>
        </w:rPr>
      </w:pPr>
      <w:bookmarkStart w:id="70" w:name="_Toc14936"/>
      <w:r>
        <w:rPr>
          <w:rFonts w:hint="eastAsia" w:ascii="宋体" w:hAnsi="宋体" w:eastAsia="宋体" w:cs="宋体"/>
          <w:sz w:val="24"/>
          <w:szCs w:val="24"/>
        </w:rPr>
        <w:t>（十）验收</w:t>
      </w:r>
      <w:bookmarkEnd w:id="70"/>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1"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1"/>
    </w:p>
    <w:p>
      <w:pPr>
        <w:spacing w:line="430" w:lineRule="exact"/>
        <w:ind w:firstLine="480" w:firstLineChars="200"/>
        <w:rPr>
          <w:rFonts w:ascii="宋体" w:hAnsi="宋体"/>
          <w:bCs/>
          <w:sz w:val="24"/>
        </w:rPr>
      </w:pPr>
      <w:bookmarkStart w:id="72"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6"/>
        <w:spacing w:before="0" w:after="0" w:line="560" w:lineRule="exact"/>
        <w:jc w:val="center"/>
        <w:rPr>
          <w:rFonts w:ascii="宋体" w:hAnsi="宋体" w:eastAsia="宋体" w:cs="宋体"/>
          <w:sz w:val="28"/>
          <w:szCs w:val="28"/>
        </w:rPr>
      </w:pPr>
      <w:bookmarkStart w:id="73" w:name="_Toc5573"/>
      <w:r>
        <w:rPr>
          <w:rFonts w:hint="eastAsia" w:ascii="宋体" w:hAnsi="宋体" w:eastAsia="宋体" w:cs="宋体"/>
          <w:sz w:val="28"/>
          <w:szCs w:val="28"/>
        </w:rPr>
        <w:t>二、采购合同</w:t>
      </w:r>
      <w:bookmarkEnd w:id="73"/>
    </w:p>
    <w:bookmarkEnd w:id="72"/>
    <w:p>
      <w:pPr>
        <w:pStyle w:val="30"/>
        <w:jc w:val="center"/>
        <w:rPr>
          <w:rFonts w:hint="eastAsia" w:eastAsia="宋体"/>
          <w:lang w:eastAsia="zh-CN"/>
        </w:rPr>
      </w:pPr>
      <w:bookmarkStart w:id="74" w:name="_Toc18672"/>
      <w:bookmarkStart w:id="75"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6"/>
        <w:numPr>
          <w:ilvl w:val="0"/>
          <w:numId w:val="3"/>
        </w:numPr>
        <w:spacing w:before="0" w:after="0" w:line="560" w:lineRule="exact"/>
        <w:jc w:val="center"/>
        <w:rPr>
          <w:rFonts w:ascii="宋体" w:hAnsi="宋体" w:eastAsia="宋体" w:cs="宋体"/>
          <w:sz w:val="28"/>
          <w:szCs w:val="28"/>
        </w:rPr>
      </w:pPr>
      <w:r>
        <w:rPr>
          <w:rFonts w:hint="eastAsia" w:ascii="宋体" w:hAnsi="宋体" w:eastAsia="宋体" w:cs="宋体"/>
          <w:sz w:val="28"/>
          <w:szCs w:val="28"/>
        </w:rPr>
        <w:t>采购需求</w:t>
      </w:r>
      <w:bookmarkEnd w:id="74"/>
    </w:p>
    <w:p>
      <w:pPr>
        <w:pStyle w:val="3"/>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6"/>
        <w:spacing w:before="0" w:after="0" w:line="560" w:lineRule="exact"/>
        <w:jc w:val="center"/>
        <w:rPr>
          <w:rFonts w:ascii="宋体" w:hAnsi="宋体" w:eastAsia="宋体" w:cs="宋体"/>
          <w:sz w:val="28"/>
          <w:szCs w:val="28"/>
        </w:rPr>
      </w:pPr>
      <w:bookmarkStart w:id="76" w:name="_Toc12600"/>
      <w:r>
        <w:rPr>
          <w:rFonts w:hint="eastAsia" w:ascii="宋体" w:hAnsi="宋体" w:eastAsia="宋体" w:cs="宋体"/>
          <w:sz w:val="28"/>
          <w:szCs w:val="28"/>
        </w:rPr>
        <w:t>四、响应文件格式</w:t>
      </w:r>
      <w:bookmarkEnd w:id="76"/>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5"/>
    <w:p>
      <w:pPr>
        <w:pStyle w:val="6"/>
        <w:spacing w:before="0" w:after="0" w:line="560" w:lineRule="exact"/>
        <w:jc w:val="center"/>
        <w:rPr>
          <w:rFonts w:ascii="宋体" w:hAnsi="宋体" w:eastAsia="宋体" w:cs="宋体"/>
          <w:sz w:val="24"/>
          <w:szCs w:val="24"/>
        </w:rPr>
      </w:pPr>
      <w:bookmarkStart w:id="77" w:name="_Toc3949"/>
      <w:r>
        <w:rPr>
          <w:rFonts w:hint="eastAsia" w:ascii="宋体" w:hAnsi="宋体" w:eastAsia="宋体" w:cs="宋体"/>
          <w:sz w:val="24"/>
          <w:szCs w:val="24"/>
        </w:rPr>
        <w:t>响应文件资料清单</w:t>
      </w:r>
      <w:bookmarkEnd w:id="77"/>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4"/>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4"/>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p>
        </w:tc>
        <w:tc>
          <w:tcPr>
            <w:tcW w:w="6038" w:type="dxa"/>
            <w:vAlign w:val="center"/>
          </w:tcPr>
          <w:p>
            <w:pPr>
              <w:rPr>
                <w:rFonts w:hint="eastAsia" w:ascii="宋体" w:hAnsi="宋体" w:eastAsia="宋体" w:cs="宋体"/>
                <w:sz w:val="24"/>
                <w:lang w:val="en-US" w:eastAsia="zh-CN"/>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6"/>
        <w:spacing w:before="0" w:after="0" w:line="560" w:lineRule="exact"/>
        <w:rPr>
          <w:rFonts w:ascii="宋体" w:hAnsi="宋体" w:eastAsia="宋体" w:cs="宋体"/>
          <w:sz w:val="24"/>
          <w:szCs w:val="24"/>
        </w:rPr>
      </w:pPr>
      <w:bookmarkStart w:id="78" w:name="_Toc970"/>
      <w:r>
        <w:rPr>
          <w:rFonts w:hint="eastAsia" w:ascii="宋体" w:hAnsi="宋体" w:eastAsia="宋体" w:cs="宋体"/>
          <w:sz w:val="24"/>
          <w:szCs w:val="24"/>
        </w:rPr>
        <w:t>附件一</w:t>
      </w:r>
      <w:bookmarkEnd w:id="78"/>
    </w:p>
    <w:p>
      <w:pPr>
        <w:pStyle w:val="6"/>
        <w:spacing w:before="0" w:after="0" w:line="560" w:lineRule="exact"/>
        <w:ind w:firstLine="482" w:firstLineChars="200"/>
        <w:jc w:val="center"/>
        <w:rPr>
          <w:rFonts w:ascii="宋体" w:hAnsi="宋体" w:eastAsia="宋体" w:cs="宋体"/>
          <w:sz w:val="24"/>
          <w:szCs w:val="24"/>
        </w:rPr>
      </w:pPr>
      <w:bookmarkStart w:id="79" w:name="_Toc5601"/>
      <w:bookmarkStart w:id="80" w:name="_Toc10816"/>
      <w:bookmarkStart w:id="81" w:name="_Toc6891"/>
      <w:r>
        <w:rPr>
          <w:rFonts w:hint="eastAsia" w:ascii="宋体" w:hAnsi="宋体" w:eastAsia="宋体" w:cs="宋体"/>
          <w:sz w:val="24"/>
          <w:szCs w:val="24"/>
        </w:rPr>
        <w:t>1、报价单</w:t>
      </w:r>
      <w:bookmarkEnd w:id="79"/>
      <w:bookmarkEnd w:id="80"/>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r>
              <w:rPr>
                <w:rFonts w:hint="eastAsia" w:ascii="宋体" w:hAnsi="宋体" w:cs="宋体"/>
                <w:bCs/>
                <w:sz w:val="24"/>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r>
              <w:rPr>
                <w:rFonts w:hint="eastAsia" w:ascii="宋体" w:hAnsi="宋体" w:cs="宋体"/>
                <w:bCs/>
                <w:sz w:val="24"/>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19"/>
        <w:spacing w:line="360" w:lineRule="auto"/>
        <w:rPr>
          <w:rFonts w:ascii="宋体" w:hAnsi="宋体" w:eastAsia="宋体" w:cs="宋体"/>
          <w:b/>
          <w:bCs/>
          <w:sz w:val="24"/>
        </w:rPr>
      </w:pPr>
    </w:p>
    <w:p>
      <w:pPr>
        <w:pStyle w:val="19"/>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6"/>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6"/>
        <w:wordWrap w:val="0"/>
        <w:spacing w:before="0" w:after="0" w:line="520" w:lineRule="exact"/>
        <w:rPr>
          <w:rFonts w:ascii="宋体" w:hAnsi="宋体" w:eastAsia="宋体" w:cs="宋体"/>
          <w:sz w:val="24"/>
          <w:szCs w:val="24"/>
        </w:rPr>
      </w:pPr>
      <w:r>
        <w:rPr>
          <w:rFonts w:hint="eastAsia" w:ascii="宋体" w:hAnsi="宋体" w:eastAsia="宋体" w:cs="宋体"/>
          <w:sz w:val="24"/>
          <w:szCs w:val="24"/>
        </w:rPr>
        <w:t>2、已标价工程量清单</w:t>
      </w:r>
    </w:p>
    <w:p>
      <w:pPr>
        <w:pStyle w:val="2"/>
        <w:spacing w:line="520" w:lineRule="exact"/>
        <w:ind w:firstLine="480" w:firstLineChars="200"/>
        <w:rPr>
          <w:rFonts w:ascii="宋体" w:hAnsi="宋体"/>
          <w:bCs/>
          <w:szCs w:val="24"/>
        </w:rPr>
      </w:pPr>
      <w:r>
        <w:rPr>
          <w:rFonts w:ascii="宋体" w:hAnsi="宋体"/>
          <w:bCs/>
          <w:szCs w:val="24"/>
        </w:rPr>
        <w:t>①</w:t>
      </w:r>
      <w:r>
        <w:rPr>
          <w:rFonts w:hint="eastAsia" w:ascii="宋体" w:hAnsi="宋体"/>
          <w:bCs/>
          <w:szCs w:val="24"/>
        </w:rPr>
        <w:t>格式详见工程量清单，分项报价应与总价一致，总价应与报价单响应报价金额一致；</w:t>
      </w:r>
    </w:p>
    <w:p>
      <w:pPr>
        <w:pStyle w:val="6"/>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1"/>
    </w:p>
    <w:p>
      <w:pPr>
        <w:pStyle w:val="6"/>
        <w:spacing w:before="0" w:after="0" w:line="560" w:lineRule="exact"/>
        <w:jc w:val="center"/>
        <w:rPr>
          <w:rFonts w:ascii="宋体" w:hAnsi="宋体" w:eastAsia="宋体" w:cs="宋体"/>
          <w:sz w:val="24"/>
          <w:szCs w:val="24"/>
        </w:rPr>
      </w:pPr>
      <w:bookmarkStart w:id="82" w:name="_Toc31020"/>
      <w:bookmarkStart w:id="83" w:name="_Toc17280"/>
      <w:r>
        <w:rPr>
          <w:rFonts w:hint="eastAsia" w:ascii="宋体" w:hAnsi="宋体" w:eastAsia="宋体" w:cs="宋体"/>
          <w:sz w:val="24"/>
          <w:szCs w:val="24"/>
        </w:rPr>
        <w:t>供应商基本信息</w:t>
      </w:r>
      <w:bookmarkEnd w:id="82"/>
      <w:bookmarkEnd w:id="83"/>
    </w:p>
    <w:p>
      <w:pPr>
        <w:pStyle w:val="2"/>
        <w:spacing w:line="520" w:lineRule="exact"/>
        <w:ind w:firstLine="480" w:firstLineChars="200"/>
        <w:rPr>
          <w:rFonts w:ascii="宋体" w:hAnsi="宋体"/>
          <w:szCs w:val="24"/>
        </w:rPr>
      </w:pPr>
      <w:r>
        <w:rPr>
          <w:rFonts w:hint="eastAsia" w:ascii="宋体" w:hAnsi="宋体"/>
          <w:szCs w:val="24"/>
        </w:rPr>
        <w:t>后附营业执照、资质证书、安全生产许可证、项目经理建造师证书、项目经理安全生产考核合格证书、项目班子社保证明材料等资料原件复印件或打印件。</w:t>
      </w:r>
    </w:p>
    <w:p>
      <w:pPr>
        <w:spacing w:line="360" w:lineRule="auto"/>
        <w:jc w:val="center"/>
      </w:pPr>
    </w:p>
    <w:p>
      <w:pPr>
        <w:pStyle w:val="6"/>
        <w:wordWrap w:val="0"/>
        <w:spacing w:before="0" w:after="0" w:line="560" w:lineRule="exact"/>
        <w:rPr>
          <w:rFonts w:ascii="宋体" w:hAnsi="宋体" w:eastAsia="宋体" w:cs="宋体"/>
          <w:sz w:val="24"/>
          <w:szCs w:val="24"/>
        </w:rPr>
      </w:pPr>
      <w:bookmarkStart w:id="84" w:name="_Toc30812"/>
      <w:r>
        <w:rPr>
          <w:rFonts w:hint="eastAsia" w:ascii="宋体" w:hAnsi="宋体" w:eastAsia="宋体" w:cs="宋体"/>
          <w:sz w:val="24"/>
          <w:szCs w:val="24"/>
        </w:rPr>
        <w:t>附件三</w:t>
      </w:r>
      <w:bookmarkEnd w:id="84"/>
    </w:p>
    <w:p>
      <w:pPr>
        <w:pStyle w:val="6"/>
        <w:spacing w:before="0" w:after="0" w:line="560" w:lineRule="exact"/>
        <w:jc w:val="center"/>
        <w:rPr>
          <w:rFonts w:ascii="宋体" w:hAnsi="宋体" w:eastAsia="宋体" w:cs="宋体"/>
          <w:sz w:val="24"/>
          <w:szCs w:val="24"/>
        </w:rPr>
      </w:pPr>
      <w:bookmarkStart w:id="85" w:name="_Toc3234"/>
      <w:bookmarkStart w:id="86" w:name="_Toc10696"/>
      <w:r>
        <w:rPr>
          <w:rFonts w:hint="eastAsia" w:ascii="宋体" w:hAnsi="宋体" w:eastAsia="宋体" w:cs="宋体"/>
          <w:sz w:val="24"/>
          <w:szCs w:val="24"/>
        </w:rPr>
        <w:t>谈判授权书</w:t>
      </w:r>
      <w:bookmarkEnd w:id="85"/>
      <w:bookmarkEnd w:id="86"/>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spacing w:line="360" w:lineRule="auto"/>
        <w:rPr>
          <w:rFonts w:ascii="宋体" w:hAnsi="宋体" w:cs="宋体"/>
          <w:b/>
          <w:sz w:val="24"/>
          <w:szCs w:val="24"/>
        </w:rPr>
      </w:pPr>
      <w:bookmarkStart w:id="87" w:name="_Toc15172"/>
      <w:r>
        <w:rPr>
          <w:rFonts w:hint="eastAsia" w:ascii="宋体" w:hAnsi="宋体" w:cs="宋体"/>
          <w:b/>
          <w:sz w:val="24"/>
          <w:szCs w:val="24"/>
        </w:rPr>
        <w:t>法定代表人身份证复印件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30"/>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7"/>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30"/>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7"/>
        <w:rPr>
          <w:rFonts w:hAnsi="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7"/>
    </w:p>
    <w:p>
      <w:pPr>
        <w:pStyle w:val="6"/>
        <w:spacing w:before="0" w:after="0" w:line="560" w:lineRule="exact"/>
        <w:jc w:val="center"/>
        <w:rPr>
          <w:rFonts w:ascii="宋体" w:hAnsi="宋体" w:eastAsia="宋体" w:cs="宋体"/>
          <w:sz w:val="24"/>
          <w:szCs w:val="24"/>
        </w:rPr>
      </w:pPr>
      <w:bookmarkStart w:id="88"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7"/>
        <w:rPr>
          <w:sz w:val="24"/>
          <w:szCs w:val="24"/>
          <w:lang w:val="en-US"/>
        </w:rPr>
      </w:pPr>
    </w:p>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89" w:name="_Toc30069"/>
      <w:r>
        <w:rPr>
          <w:rFonts w:hint="eastAsia" w:ascii="宋体" w:hAnsi="宋体" w:eastAsia="宋体" w:cs="宋体"/>
          <w:sz w:val="24"/>
          <w:szCs w:val="24"/>
        </w:rPr>
        <w:t>附件</w:t>
      </w:r>
      <w:bookmarkEnd w:id="88"/>
      <w:r>
        <w:rPr>
          <w:rFonts w:hint="eastAsia" w:ascii="宋体" w:hAnsi="宋体" w:eastAsia="宋体" w:cs="宋体"/>
          <w:sz w:val="24"/>
          <w:szCs w:val="24"/>
        </w:rPr>
        <w:t>五</w:t>
      </w:r>
      <w:bookmarkEnd w:id="89"/>
    </w:p>
    <w:p>
      <w:pPr>
        <w:pStyle w:val="2"/>
        <w:ind w:firstLine="2891" w:firstLineChars="1200"/>
        <w:rPr>
          <w:rFonts w:ascii="宋体" w:hAnsi="宋体" w:cs="宋体"/>
          <w:b/>
          <w:szCs w:val="24"/>
          <w:lang w:val="zh-CN"/>
        </w:rPr>
      </w:pPr>
      <w:bookmarkStart w:id="90" w:name="_Hlk77794441"/>
      <w:bookmarkStart w:id="91" w:name="_Hlk77793942"/>
      <w:bookmarkStart w:id="92" w:name="_Toc363199274"/>
      <w:r>
        <w:rPr>
          <w:rFonts w:hint="eastAsia" w:ascii="宋体" w:hAnsi="宋体" w:cs="宋体"/>
          <w:b/>
          <w:szCs w:val="24"/>
          <w:lang w:val="zh-CN"/>
        </w:rPr>
        <w:t>无重大违法记录声明函</w:t>
      </w:r>
    </w:p>
    <w:p>
      <w:pPr>
        <w:pStyle w:val="2"/>
        <w:ind w:firstLine="480" w:firstLineChars="200"/>
        <w:rPr>
          <w:rFonts w:ascii="宋体" w:hAnsi="宋体"/>
          <w:szCs w:val="24"/>
        </w:rPr>
      </w:pPr>
      <w:bookmarkStart w:id="93"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3"/>
    <w:p>
      <w:pPr>
        <w:pStyle w:val="2"/>
        <w:ind w:firstLine="210"/>
      </w:pPr>
    </w:p>
    <w:p>
      <w:pPr>
        <w:pStyle w:val="2"/>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4"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0"/>
    <w:bookmarkEnd w:id="94"/>
    <w:p>
      <w:pPr>
        <w:pStyle w:val="2"/>
        <w:ind w:firstLine="210"/>
      </w:pPr>
    </w:p>
    <w:bookmarkEnd w:id="91"/>
    <w:p>
      <w:pPr>
        <w:pStyle w:val="2"/>
        <w:ind w:firstLine="210"/>
      </w:pPr>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95" w:name="_Toc11207"/>
      <w:r>
        <w:rPr>
          <w:rFonts w:hint="eastAsia" w:ascii="宋体" w:hAnsi="宋体" w:eastAsia="宋体" w:cs="宋体"/>
          <w:sz w:val="24"/>
          <w:szCs w:val="24"/>
        </w:rPr>
        <w:t>附件</w:t>
      </w:r>
      <w:bookmarkEnd w:id="92"/>
      <w:r>
        <w:rPr>
          <w:rFonts w:hint="eastAsia" w:ascii="宋体" w:hAnsi="宋体" w:eastAsia="宋体" w:cs="宋体"/>
          <w:sz w:val="24"/>
          <w:szCs w:val="24"/>
        </w:rPr>
        <w:t>六</w:t>
      </w:r>
      <w:bookmarkEnd w:id="95"/>
    </w:p>
    <w:p>
      <w:pPr>
        <w:pStyle w:val="6"/>
        <w:spacing w:before="0" w:after="0" w:line="560" w:lineRule="exact"/>
        <w:jc w:val="center"/>
        <w:rPr>
          <w:rFonts w:ascii="宋体" w:hAnsi="宋体" w:eastAsia="宋体" w:cs="宋体"/>
          <w:sz w:val="24"/>
          <w:szCs w:val="24"/>
          <w:lang w:val="zh-CN"/>
        </w:rPr>
      </w:pPr>
      <w:bookmarkStart w:id="96" w:name="_Toc11166"/>
      <w:bookmarkStart w:id="97" w:name="_Toc25238"/>
      <w:r>
        <w:rPr>
          <w:rFonts w:hint="eastAsia" w:ascii="宋体" w:hAnsi="宋体" w:eastAsia="宋体" w:cs="宋体"/>
          <w:sz w:val="24"/>
          <w:szCs w:val="24"/>
          <w:lang w:val="zh-CN"/>
        </w:rPr>
        <w:t>响应情况表</w:t>
      </w:r>
      <w:bookmarkEnd w:id="96"/>
      <w:bookmarkEnd w:id="97"/>
    </w:p>
    <w:p>
      <w:pPr>
        <w:jc w:val="center"/>
        <w:rPr>
          <w:bCs/>
          <w:sz w:val="24"/>
          <w:szCs w:val="24"/>
          <w:lang w:val="zh-CN"/>
        </w:rPr>
      </w:pPr>
    </w:p>
    <w:tbl>
      <w:tblPr>
        <w:tblStyle w:val="36"/>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pPr>
              <w:jc w:val="center"/>
              <w:rPr>
                <w:rFonts w:ascii="宋体" w:hAnsi="宋体" w:cs="宋体"/>
                <w:b/>
                <w:bCs/>
                <w:sz w:val="24"/>
                <w:szCs w:val="24"/>
              </w:rPr>
            </w:pPr>
            <w:bookmarkStart w:id="98"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7"/>
        <w:spacing w:before="0" w:after="0"/>
        <w:rPr>
          <w:sz w:val="24"/>
          <w:szCs w:val="24"/>
        </w:rPr>
      </w:pPr>
      <w:r>
        <w:rPr>
          <w:rFonts w:hint="eastAsia"/>
          <w:sz w:val="24"/>
          <w:szCs w:val="24"/>
        </w:rPr>
        <w:br w:type="page"/>
      </w:r>
    </w:p>
    <w:p>
      <w:pPr>
        <w:pStyle w:val="6"/>
        <w:spacing w:before="0" w:after="0" w:line="360" w:lineRule="exact"/>
        <w:jc w:val="both"/>
        <w:rPr>
          <w:rFonts w:hint="eastAsia" w:ascii="宋体" w:hAnsi="宋体" w:eastAsia="宋体" w:cs="宋体"/>
          <w:sz w:val="24"/>
          <w:szCs w:val="24"/>
          <w:lang w:val="en-US" w:eastAsia="zh-CN"/>
        </w:rPr>
      </w:pPr>
      <w:bookmarkStart w:id="99" w:name="_Toc12917"/>
      <w:r>
        <w:rPr>
          <w:rFonts w:hint="eastAsia" w:ascii="宋体" w:hAnsi="宋体" w:eastAsia="宋体" w:cs="宋体"/>
          <w:sz w:val="24"/>
          <w:szCs w:val="24"/>
        </w:rPr>
        <w:t>附件</w:t>
      </w:r>
      <w:bookmarkEnd w:id="98"/>
      <w:r>
        <w:rPr>
          <w:rFonts w:hint="eastAsia" w:ascii="宋体" w:hAnsi="宋体" w:eastAsia="宋体" w:cs="宋体"/>
          <w:sz w:val="24"/>
          <w:szCs w:val="24"/>
        </w:rPr>
        <w:t>七</w:t>
      </w:r>
      <w:bookmarkEnd w:id="99"/>
      <w:bookmarkStart w:id="100" w:name="_Toc26763"/>
      <w:bookmarkStart w:id="101" w:name="_Toc18625"/>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承诺函</w:t>
      </w:r>
    </w:p>
    <w:p>
      <w:pPr>
        <w:pStyle w:val="6"/>
        <w:spacing w:before="0" w:after="0" w:line="360" w:lineRule="exact"/>
        <w:jc w:val="cente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相关服务承诺函</w:t>
      </w:r>
      <w:bookmarkEnd w:id="100"/>
      <w:bookmarkEnd w:id="101"/>
    </w:p>
    <w:tbl>
      <w:tblPr>
        <w:tblStyle w:val="36"/>
        <w:tblpPr w:leftFromText="180" w:rightFromText="180" w:vertAnchor="text" w:horzAnchor="page" w:tblpX="1092" w:tblpY="436"/>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5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56" w:type="dxa"/>
            <w:gridSpan w:val="2"/>
            <w:vAlign w:val="center"/>
          </w:tcPr>
          <w:p>
            <w:pPr>
              <w:spacing w:line="360" w:lineRule="exact"/>
              <w:rPr>
                <w:rFonts w:ascii="仿宋" w:hAnsi="仿宋" w:eastAsia="仿宋" w:cs="仿宋"/>
                <w:sz w:val="24"/>
              </w:rPr>
            </w:pPr>
            <w:bookmarkStart w:id="102" w:name="_Toc3177"/>
            <w:r>
              <w:rPr>
                <w:rFonts w:hint="eastAsia" w:ascii="仿宋" w:hAnsi="仿宋" w:eastAsia="仿宋" w:cs="仿宋"/>
                <w:sz w:val="24"/>
              </w:rPr>
              <w:t>项目名称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单位</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rPr>
              <w:t>企业名称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64" w:type="dxa"/>
            <w:gridSpan w:val="3"/>
          </w:tcPr>
          <w:p>
            <w:pPr>
              <w:spacing w:line="360" w:lineRule="exact"/>
              <w:ind w:firstLine="480" w:firstLineChars="200"/>
              <w:rPr>
                <w:rFonts w:ascii="仿宋" w:hAnsi="仿宋" w:eastAsia="仿宋" w:cs="仿宋"/>
                <w:sz w:val="24"/>
              </w:rPr>
            </w:pPr>
            <w:r>
              <w:rPr>
                <w:rFonts w:hint="eastAsia" w:ascii="仿宋" w:hAnsi="仿宋" w:eastAsia="仿宋" w:cs="仿宋"/>
                <w:sz w:val="24"/>
              </w:rPr>
              <w:t>我方已仔细研究了本项目</w:t>
            </w:r>
            <w:r>
              <w:rPr>
                <w:rFonts w:hint="eastAsia" w:ascii="仿宋" w:hAnsi="仿宋" w:eastAsia="仿宋" w:cs="仿宋"/>
                <w:sz w:val="24"/>
                <w:lang w:eastAsia="zh-CN"/>
              </w:rPr>
              <w:t>谈判文件</w:t>
            </w:r>
            <w:r>
              <w:rPr>
                <w:rFonts w:hint="eastAsia" w:ascii="仿宋" w:hAnsi="仿宋" w:eastAsia="仿宋" w:cs="仿宋"/>
                <w:sz w:val="24"/>
              </w:rPr>
              <w:t>的全部内容（含图纸、工程量清单、预算价、合同条款等），项目成交后，若有转包、违法分包以及未按</w:t>
            </w:r>
            <w:r>
              <w:rPr>
                <w:rFonts w:hint="eastAsia" w:ascii="仿宋" w:hAnsi="仿宋" w:eastAsia="仿宋" w:cs="仿宋"/>
                <w:sz w:val="24"/>
                <w:lang w:eastAsia="zh-CN"/>
              </w:rPr>
              <w:t>谈判文件</w:t>
            </w:r>
            <w:r>
              <w:rPr>
                <w:rFonts w:hint="eastAsia" w:ascii="仿宋" w:hAnsi="仿宋" w:eastAsia="仿宋" w:cs="仿宋"/>
                <w:sz w:val="24"/>
              </w:rPr>
              <w:t>、成交文件、合同等履约的违法违规行为，将自愿接受</w:t>
            </w:r>
            <w:r>
              <w:rPr>
                <w:rFonts w:hint="eastAsia" w:ascii="仿宋" w:hAnsi="仿宋" w:eastAsia="仿宋" w:cs="仿宋"/>
                <w:sz w:val="24"/>
                <w:lang w:val="en-US" w:eastAsia="zh-CN"/>
              </w:rPr>
              <w:t>采购</w:t>
            </w:r>
            <w:r>
              <w:rPr>
                <w:rFonts w:hint="eastAsia" w:ascii="仿宋" w:hAnsi="仿宋" w:eastAsia="仿宋" w:cs="仿宋"/>
                <w:sz w:val="24"/>
              </w:rPr>
              <w:t>人按规定给予的处理。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9" w:type="dxa"/>
            <w:vAlign w:val="center"/>
          </w:tcPr>
          <w:p>
            <w:pPr>
              <w:spacing w:line="360" w:lineRule="exact"/>
              <w:rPr>
                <w:rFonts w:ascii="仿宋" w:hAnsi="仿宋" w:eastAsia="仿宋" w:cs="仿宋"/>
                <w:sz w:val="24"/>
              </w:rPr>
            </w:pPr>
            <w:r>
              <w:rPr>
                <w:rFonts w:hint="eastAsia" w:ascii="仿宋" w:hAnsi="仿宋" w:eastAsia="仿宋" w:cs="仿宋"/>
                <w:sz w:val="24"/>
              </w:rPr>
              <w:t>备 注</w:t>
            </w:r>
          </w:p>
        </w:tc>
        <w:tc>
          <w:tcPr>
            <w:tcW w:w="7265" w:type="dxa"/>
            <w:gridSpan w:val="2"/>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664" w:type="dxa"/>
            <w:gridSpan w:val="3"/>
            <w:vAlign w:val="center"/>
          </w:tcPr>
          <w:p>
            <w:pPr>
              <w:pStyle w:val="2"/>
              <w:spacing w:line="360" w:lineRule="exact"/>
              <w:ind w:right="63" w:rightChars="30" w:firstLine="0"/>
            </w:pPr>
            <w:r>
              <w:rPr>
                <w:rFonts w:hint="eastAsia"/>
                <w:b/>
                <w:bCs/>
              </w:rPr>
              <w:t>上述是我单位承诺的相关内容，若有弄虚作假，并承诺愿意承担因我方就此弄虚作假所引起的一切法律后果，愿意接受发包人给予取消成交资格、记不良行为记录等处理。</w:t>
            </w:r>
          </w:p>
          <w:p>
            <w:pPr>
              <w:spacing w:line="360" w:lineRule="exact"/>
              <w:jc w:val="center"/>
            </w:pPr>
            <w:r>
              <w:rPr>
                <w:rFonts w:hint="eastAsia"/>
              </w:rPr>
              <w:t xml:space="preserve">                     供应商（盖章）：           </w:t>
            </w:r>
          </w:p>
          <w:p>
            <w:pPr>
              <w:spacing w:line="360" w:lineRule="exact"/>
              <w:ind w:firstLine="4410" w:firstLineChars="2100"/>
            </w:pPr>
            <w:r>
              <w:rPr>
                <w:rFonts w:hint="eastAsia"/>
              </w:rPr>
              <w:t>供应商法定代表人（签名）：</w:t>
            </w:r>
          </w:p>
          <w:p>
            <w:pPr>
              <w:pStyle w:val="55"/>
              <w:wordWrap w:val="0"/>
              <w:spacing w:line="360" w:lineRule="exact"/>
              <w:ind w:firstLine="480"/>
              <w:jc w:val="center"/>
            </w:pPr>
            <w:r>
              <w:rPr>
                <w:rFonts w:hint="eastAsia" w:ascii="仿宋" w:hAnsi="仿宋" w:eastAsia="仿宋" w:cs="仿宋"/>
                <w:sz w:val="24"/>
                <w:szCs w:val="24"/>
              </w:rPr>
              <w:t xml:space="preserve">                                     日      期：                         </w:t>
            </w:r>
          </w:p>
        </w:tc>
      </w:tr>
    </w:tbl>
    <w:p>
      <w:pPr>
        <w:spacing w:line="360" w:lineRule="auto"/>
        <w:jc w:val="center"/>
        <w:rPr>
          <w:rFonts w:hint="eastAsia"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二</w:t>
      </w:r>
      <w:r>
        <w:rPr>
          <w:rFonts w:hint="eastAsia" w:ascii="宋体" w:hAnsi="宋体"/>
          <w:b/>
          <w:color w:val="auto"/>
          <w:sz w:val="28"/>
          <w:szCs w:val="28"/>
          <w:lang w:eastAsia="zh-CN"/>
        </w:rPr>
        <w:t>）</w:t>
      </w:r>
      <w:r>
        <w:rPr>
          <w:rFonts w:hint="eastAsia" w:ascii="宋体" w:hAnsi="宋体"/>
          <w:b/>
          <w:color w:val="auto"/>
          <w:sz w:val="28"/>
          <w:szCs w:val="28"/>
        </w:rPr>
        <w:t>无在建承诺函</w:t>
      </w:r>
    </w:p>
    <w:p>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致：</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我单位参加你方</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项目编号为（项目编号）的（</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项目名称）项目的</w:t>
      </w:r>
      <w:r>
        <w:rPr>
          <w:rFonts w:hint="eastAsia" w:ascii="宋体" w:hAnsi="宋体" w:cs="宋体"/>
          <w:color w:val="auto"/>
          <w:kern w:val="0"/>
          <w:szCs w:val="21"/>
          <w:lang w:val="en-US" w:eastAsia="zh-CN"/>
        </w:rPr>
        <w:t>采购</w:t>
      </w:r>
      <w:r>
        <w:rPr>
          <w:rFonts w:hint="eastAsia" w:ascii="宋体" w:hAnsi="宋体" w:cs="宋体"/>
          <w:color w:val="auto"/>
          <w:kern w:val="0"/>
          <w:szCs w:val="21"/>
        </w:rPr>
        <w:t>活动，现郑重承诺如下：</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我单位</w:t>
      </w:r>
      <w:r>
        <w:rPr>
          <w:rFonts w:hint="eastAsia" w:ascii="宋体" w:hAnsi="宋体" w:cs="宋体"/>
          <w:color w:val="auto"/>
          <w:kern w:val="0"/>
          <w:szCs w:val="21"/>
          <w:lang w:val="en-US" w:eastAsia="zh-CN"/>
        </w:rPr>
        <w:t>响应</w:t>
      </w:r>
      <w:r>
        <w:rPr>
          <w:rFonts w:hint="eastAsia" w:ascii="宋体" w:hAnsi="宋体" w:cs="宋体"/>
          <w:color w:val="auto"/>
          <w:kern w:val="0"/>
          <w:szCs w:val="21"/>
        </w:rPr>
        <w:t>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参与本项目</w:t>
      </w:r>
      <w:r>
        <w:rPr>
          <w:rFonts w:hint="eastAsia" w:ascii="宋体" w:hAnsi="宋体" w:cs="宋体"/>
          <w:color w:val="auto"/>
          <w:kern w:val="0"/>
          <w:szCs w:val="21"/>
          <w:lang w:val="en-US" w:eastAsia="zh-CN"/>
        </w:rPr>
        <w:t>响应</w:t>
      </w:r>
      <w:r>
        <w:rPr>
          <w:rFonts w:hint="eastAsia" w:ascii="宋体" w:hAnsi="宋体" w:cs="宋体"/>
          <w:color w:val="auto"/>
          <w:kern w:val="0"/>
          <w:szCs w:val="21"/>
        </w:rPr>
        <w:t>之前无在建工程（含已成交的待建工程）或已按照相关法律法规办理了有效的项目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变更手续，如发现有在建工程（含已成交的待建工程）经查证属实即构成以虚假信息（事实）</w:t>
      </w:r>
      <w:r>
        <w:rPr>
          <w:rFonts w:hint="eastAsia" w:ascii="宋体" w:hAnsi="宋体" w:cs="宋体"/>
          <w:color w:val="auto"/>
          <w:kern w:val="0"/>
          <w:szCs w:val="21"/>
          <w:lang w:val="en-US" w:eastAsia="zh-CN"/>
        </w:rPr>
        <w:t>响应</w:t>
      </w:r>
      <w:r>
        <w:rPr>
          <w:rFonts w:hint="eastAsia" w:ascii="宋体" w:hAnsi="宋体" w:cs="宋体"/>
          <w:color w:val="auto"/>
          <w:kern w:val="0"/>
          <w:szCs w:val="21"/>
        </w:rPr>
        <w:t>，我单位自愿接受</w:t>
      </w:r>
      <w:r>
        <w:rPr>
          <w:rFonts w:hint="eastAsia" w:ascii="宋体" w:hAnsi="宋体" w:cs="宋体"/>
          <w:color w:val="auto"/>
          <w:kern w:val="0"/>
          <w:szCs w:val="21"/>
          <w:lang w:val="en-US" w:eastAsia="zh-CN"/>
        </w:rPr>
        <w:t>采购</w:t>
      </w:r>
      <w:r>
        <w:rPr>
          <w:rFonts w:hint="eastAsia" w:ascii="宋体" w:hAnsi="宋体" w:cs="宋体"/>
          <w:color w:val="auto"/>
          <w:kern w:val="0"/>
          <w:szCs w:val="21"/>
        </w:rPr>
        <w:t>人及公共资源交易监督管理部门按照</w:t>
      </w:r>
      <w:r>
        <w:rPr>
          <w:rFonts w:hint="eastAsia" w:ascii="宋体" w:hAnsi="宋体" w:cs="宋体"/>
          <w:color w:val="auto"/>
          <w:kern w:val="0"/>
          <w:szCs w:val="21"/>
          <w:lang w:val="en-US" w:eastAsia="zh-CN"/>
        </w:rPr>
        <w:t>相关法律法规</w:t>
      </w:r>
      <w:r>
        <w:rPr>
          <w:rFonts w:hint="eastAsia" w:ascii="宋体" w:hAnsi="宋体" w:cs="宋体"/>
          <w:color w:val="auto"/>
          <w:kern w:val="0"/>
          <w:szCs w:val="21"/>
        </w:rPr>
        <w:t>给予的处理，包括成交无效，赔偿</w:t>
      </w:r>
      <w:r>
        <w:rPr>
          <w:rFonts w:hint="eastAsia" w:ascii="宋体" w:hAnsi="宋体" w:cs="宋体"/>
          <w:color w:val="auto"/>
          <w:kern w:val="0"/>
          <w:szCs w:val="21"/>
          <w:lang w:val="en-US" w:eastAsia="zh-CN"/>
        </w:rPr>
        <w:t>采购</w:t>
      </w:r>
      <w:r>
        <w:rPr>
          <w:rFonts w:hint="eastAsia" w:ascii="宋体" w:hAnsi="宋体" w:cs="宋体"/>
          <w:color w:val="auto"/>
          <w:kern w:val="0"/>
          <w:szCs w:val="21"/>
        </w:rPr>
        <w:t>人损失，接受罚款以及</w:t>
      </w:r>
      <w:r>
        <w:rPr>
          <w:rFonts w:hint="eastAsia" w:ascii="宋体" w:hAnsi="宋体" w:cs="宋体"/>
          <w:color w:val="auto"/>
          <w:kern w:val="0"/>
          <w:szCs w:val="21"/>
          <w:lang w:val="en-US" w:eastAsia="zh-CN"/>
        </w:rPr>
        <w:t>成交</w:t>
      </w:r>
      <w:r>
        <w:rPr>
          <w:rFonts w:hint="eastAsia" w:ascii="宋体" w:hAnsi="宋体" w:cs="宋体"/>
          <w:color w:val="auto"/>
          <w:kern w:val="0"/>
          <w:szCs w:val="21"/>
        </w:rPr>
        <w:t>资格限制等。</w:t>
      </w:r>
    </w:p>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w:t>
      </w:r>
    </w:p>
    <w:p>
      <w:pPr>
        <w:jc w:val="center"/>
        <w:rPr>
          <w:rFonts w:hint="eastAsia" w:ascii="宋体" w:hAnsi="宋体" w:cs="宋体"/>
          <w:color w:val="auto"/>
          <w:kern w:val="0"/>
          <w:szCs w:val="21"/>
          <w:lang w:val="en-US" w:eastAsia="zh-CN"/>
        </w:rPr>
      </w:pPr>
    </w:p>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供应商（盖章）：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pPr>
        <w:jc w:val="center"/>
        <w:rPr>
          <w:rFonts w:hint="eastAsia" w:ascii="宋体" w:hAnsi="宋体" w:cs="宋体"/>
          <w:color w:val="auto"/>
          <w:kern w:val="0"/>
          <w:szCs w:val="21"/>
        </w:rPr>
      </w:pPr>
      <w:r>
        <w:rPr>
          <w:rFonts w:hint="eastAsia" w:ascii="宋体" w:hAnsi="宋体" w:cs="宋体"/>
          <w:color w:val="auto"/>
          <w:kern w:val="0"/>
          <w:szCs w:val="21"/>
        </w:rPr>
        <w:t>供应商法定代表人（签名）：</w:t>
      </w:r>
    </w:p>
    <w:p>
      <w:pPr>
        <w:ind w:firstLine="4620" w:firstLineChars="2200"/>
        <w:jc w:val="both"/>
        <w:rPr>
          <w:rFonts w:hint="eastAsia" w:ascii="宋体" w:hAnsi="宋体" w:cs="宋体"/>
          <w:color w:val="auto"/>
          <w:kern w:val="0"/>
          <w:szCs w:val="21"/>
        </w:rPr>
      </w:pPr>
      <w:r>
        <w:rPr>
          <w:rFonts w:hint="eastAsia" w:ascii="宋体" w:hAnsi="宋体" w:cs="宋体"/>
          <w:color w:val="auto"/>
          <w:kern w:val="0"/>
          <w:szCs w:val="21"/>
        </w:rPr>
        <w:t xml:space="preserve">日      期： </w:t>
      </w:r>
    </w:p>
    <w:p>
      <w:pPr>
        <w:ind w:firstLine="4620" w:firstLineChars="2200"/>
        <w:jc w:val="both"/>
        <w:rPr>
          <w:rFonts w:hint="eastAsia" w:ascii="宋体" w:hAnsi="宋体" w:cs="宋体"/>
          <w:color w:val="auto"/>
          <w:kern w:val="0"/>
          <w:szCs w:val="21"/>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eastAsia="宋体" w:cs="宋体"/>
          <w:b/>
          <w:kern w:val="0"/>
          <w:sz w:val="24"/>
          <w:szCs w:val="24"/>
          <w:lang w:val="en-US" w:eastAsia="zh-CN" w:bidi="ar-SA"/>
        </w:rPr>
      </w:pPr>
      <w:bookmarkStart w:id="103" w:name="_Toc3426"/>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kern w:val="0"/>
          <w:sz w:val="24"/>
          <w:szCs w:val="24"/>
          <w:lang w:val="en-US" w:eastAsia="zh-CN" w:bidi="ar-SA"/>
        </w:rPr>
        <w:t>附件八</w:t>
      </w:r>
      <w:bookmarkEnd w:id="103"/>
      <w:r>
        <w:rPr>
          <w:rFonts w:hint="eastAsia" w:ascii="宋体" w:hAnsi="宋体" w:eastAsia="宋体" w:cs="宋体"/>
          <w:b/>
          <w:kern w:val="0"/>
          <w:sz w:val="24"/>
          <w:szCs w:val="24"/>
          <w:lang w:val="en-US" w:eastAsia="zh-CN" w:bidi="ar-SA"/>
        </w:rPr>
        <w:t xml:space="preserve"> </w:t>
      </w:r>
      <w:r>
        <w:rPr>
          <w:rFonts w:hint="eastAsia" w:ascii="宋体" w:hAnsi="宋体" w:eastAsia="宋体" w:cs="宋体"/>
          <w:sz w:val="24"/>
          <w:szCs w:val="24"/>
          <w:lang w:val="en-US" w:eastAsia="zh-CN"/>
        </w:rPr>
        <w:t xml:space="preserve"> </w:t>
      </w:r>
    </w:p>
    <w:p>
      <w:pPr>
        <w:jc w:val="center"/>
        <w:rPr>
          <w:rFonts w:ascii="宋体" w:hAnsi="宋体"/>
          <w:sz w:val="24"/>
          <w:szCs w:val="24"/>
        </w:rPr>
      </w:pPr>
      <w:bookmarkStart w:id="104" w:name="_Toc28850"/>
      <w:bookmarkStart w:id="105" w:name="_Toc19723"/>
      <w:r>
        <w:rPr>
          <w:rFonts w:hint="eastAsia" w:ascii="宋体" w:hAnsi="宋体" w:eastAsia="宋体" w:cs="宋体"/>
          <w:b w:val="0"/>
          <w:bCs/>
          <w:sz w:val="24"/>
          <w:szCs w:val="24"/>
        </w:rPr>
        <w:t>谈判文件要求和供应商认为需要提供的其它说明和资料</w:t>
      </w:r>
      <w:bookmarkEnd w:id="104"/>
      <w:bookmarkEnd w:id="105"/>
    </w:p>
    <w:p>
      <w:pPr>
        <w:rPr>
          <w:rFonts w:hint="default"/>
          <w:lang w:val="en-US" w:eastAsia="zh-CN"/>
        </w:rPr>
      </w:pPr>
    </w:p>
    <w:bookmarkEnd w:id="102"/>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bookmarkStart w:id="106" w:name="_Toc5314"/>
      <w:bookmarkStart w:id="107" w:name="_Toc23763"/>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6"/>
        <w:spacing w:before="0" w:after="0" w:line="560" w:lineRule="exact"/>
        <w:rPr>
          <w:rStyle w:val="115"/>
          <w:rFonts w:ascii="宋体" w:hAnsi="宋体" w:eastAsia="宋体" w:cs="宋体"/>
          <w:b/>
          <w:sz w:val="24"/>
          <w:szCs w:val="24"/>
        </w:rPr>
      </w:pPr>
      <w:r>
        <w:rPr>
          <w:rFonts w:hint="eastAsia" w:ascii="宋体" w:hAnsi="宋体" w:eastAsia="宋体" w:cs="宋体"/>
          <w:sz w:val="24"/>
          <w:szCs w:val="24"/>
        </w:rPr>
        <w:t>附件九</w:t>
      </w:r>
      <w:bookmarkEnd w:id="106"/>
      <w:bookmarkEnd w:id="107"/>
      <w:r>
        <w:rPr>
          <w:rFonts w:hint="eastAsia" w:ascii="宋体" w:hAnsi="宋体" w:eastAsia="宋体" w:cs="宋体"/>
          <w:sz w:val="24"/>
          <w:szCs w:val="24"/>
          <w:lang w:val="en-US" w:eastAsia="zh-CN"/>
        </w:rPr>
        <w:t xml:space="preserve">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6"/>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default" w:ascii="宋体" w:hAnsi="宋体" w:eastAsia="宋体" w:cs="宋体"/>
                <w:sz w:val="24"/>
                <w:szCs w:val="22"/>
                <w:lang w:val="zh-CN" w:eastAsia="zh-CN" w:bidi="zh-CN"/>
              </w:rPr>
              <w:t>人民币大写</w:t>
            </w: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pPr>
        <w:pStyle w:val="35"/>
        <w:numPr>
          <w:ilvl w:val="0"/>
          <w:numId w:val="4"/>
        </w:numPr>
        <w:ind w:left="0" w:leftChars="0" w:firstLine="0" w:firstLineChars="0"/>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最终承诺报价表</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r>
        <w:rPr>
          <w:rFonts w:hint="eastAsia" w:ascii="宋体" w:hAnsi="宋体" w:eastAsia="宋体" w:cs="宋体"/>
          <w:b/>
          <w:color w:val="FF0000"/>
          <w:sz w:val="24"/>
          <w:szCs w:val="24"/>
          <w:highlight w:val="none"/>
          <w:lang w:val="en-US" w:eastAsia="zh-CN"/>
        </w:rPr>
        <w:t>。</w:t>
      </w:r>
    </w:p>
    <w:p>
      <w:pPr>
        <w:numPr>
          <w:ilvl w:val="0"/>
          <w:numId w:val="0"/>
        </w:numPr>
        <w:rPr>
          <w:bCs/>
        </w:rPr>
      </w:pPr>
      <w:r>
        <w:rPr>
          <w:rFonts w:hint="eastAsia" w:ascii="宋体" w:hAnsi="宋体" w:cs="宋体"/>
          <w:b/>
          <w:color w:val="FF0000"/>
          <w:kern w:val="2"/>
          <w:sz w:val="24"/>
          <w:szCs w:val="24"/>
          <w:highlight w:val="none"/>
          <w:lang w:val="en-US" w:eastAsia="zh-CN" w:bidi="ar-SA"/>
        </w:rPr>
        <w:t>3、</w:t>
      </w:r>
      <w:r>
        <w:rPr>
          <w:rFonts w:hint="eastAsia" w:ascii="宋体" w:hAnsi="宋体" w:eastAsia="宋体" w:cs="宋体"/>
          <w:b/>
          <w:color w:val="FF0000"/>
          <w:kern w:val="2"/>
          <w:sz w:val="24"/>
          <w:szCs w:val="24"/>
          <w:highlight w:val="none"/>
          <w:lang w:val="en-US" w:eastAsia="zh-CN" w:bidi="ar-SA"/>
        </w:rPr>
        <w:t>最终报价单位为元，最多保留两位小数。</w:t>
      </w:r>
    </w:p>
    <w:sectPr>
      <w:headerReference r:id="rId5" w:type="default"/>
      <w:footerReference r:id="rId7" w:type="default"/>
      <w:headerReference r:id="rId6" w:type="even"/>
      <w:footerReference r:id="rId8"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D9F1561-CE42-4CBE-B4D9-2A9C182F68E7}"/>
  </w:font>
  <w:font w:name="黑体">
    <w:panose1 w:val="02010609060101010101"/>
    <w:charset w:val="86"/>
    <w:family w:val="auto"/>
    <w:pitch w:val="default"/>
    <w:sig w:usb0="800002BF" w:usb1="38CF7CFA" w:usb2="00000016" w:usb3="00000000" w:csb0="00040001" w:csb1="00000000"/>
    <w:embedRegular r:id="rId2" w:fontKey="{9C7AECEE-9C49-4744-854C-2BF5660B87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B80F241-FCB8-428A-8B2B-121FD2B8E0B2}"/>
  </w:font>
  <w:font w:name="仿宋_GB2312">
    <w:panose1 w:val="02010609030101010101"/>
    <w:charset w:val="86"/>
    <w:family w:val="auto"/>
    <w:pitch w:val="default"/>
    <w:sig w:usb0="00000001" w:usb1="080E0000" w:usb2="00000000" w:usb3="00000000" w:csb0="00040000" w:csb1="00000000"/>
    <w:embedRegular r:id="rId4" w:fontKey="{D649D626-6EA1-4B19-88FA-B50F79EAAC25}"/>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B4FAD2E4-B8A6-4183-90D3-CBE3BF2C14E5}"/>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5A9EE932-80A9-4FD9-8E35-C9E21CFF107A}"/>
  </w:font>
  <w:font w:name="华文中宋">
    <w:panose1 w:val="02010600040101010101"/>
    <w:charset w:val="86"/>
    <w:family w:val="auto"/>
    <w:pitch w:val="default"/>
    <w:sig w:usb0="00000287" w:usb1="080F0000" w:usb2="00000000" w:usb3="00000000" w:csb0="0004009F" w:csb1="DFD70000"/>
    <w:embedRegular r:id="rId7" w:fontKey="{40A47B1B-A603-4D78-AE41-27FA0EE58C2A}"/>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30</w:t>
    </w:r>
    <w:r>
      <w:rPr>
        <w:rStyle w:val="40"/>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tabs>
        <w:tab w:val="left" w:pos="8460"/>
        <w:tab w:val="left" w:pos="9180"/>
        <w:tab w:val="clear" w:pos="4153"/>
        <w:tab w:val="clear" w:pos="8306"/>
      </w:tabs>
      <w:ind w:right="360"/>
    </w:pPr>
    <w:r>
      <w:rPr>
        <w:rFonts w:hint="eastAsia"/>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pPr>
      <w:pStyle w:val="2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DB6"/>
    <w:multiLevelType w:val="singleLevel"/>
    <w:tmpl w:val="A43FBDB6"/>
    <w:lvl w:ilvl="0" w:tentative="0">
      <w:start w:val="2"/>
      <w:numFmt w:val="decimal"/>
      <w:suff w:val="nothing"/>
      <w:lvlText w:val="%1、"/>
      <w:lvlJc w:val="left"/>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06AFB53"/>
    <w:multiLevelType w:val="singleLevel"/>
    <w:tmpl w:val="606AFB53"/>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NTVhNWRiNTEyYThhMzJiNjI5ZTBkYzJkZDAzZGQifQ=="/>
    <w:docVar w:name="KSO_WPS_MARK_KEY" w:val="6d5b85fa-2104-46a8-95ff-8be6d43741d3"/>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4EF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0604DC"/>
    <w:rsid w:val="014944FD"/>
    <w:rsid w:val="017E1B19"/>
    <w:rsid w:val="01DD0E32"/>
    <w:rsid w:val="01ED3B47"/>
    <w:rsid w:val="022644A3"/>
    <w:rsid w:val="026B700F"/>
    <w:rsid w:val="02734D70"/>
    <w:rsid w:val="03052939"/>
    <w:rsid w:val="03062E20"/>
    <w:rsid w:val="0311396F"/>
    <w:rsid w:val="037D5484"/>
    <w:rsid w:val="03B22505"/>
    <w:rsid w:val="03D23972"/>
    <w:rsid w:val="03FE01E1"/>
    <w:rsid w:val="04067181"/>
    <w:rsid w:val="046E3E44"/>
    <w:rsid w:val="047F6792"/>
    <w:rsid w:val="04EE7346"/>
    <w:rsid w:val="05045387"/>
    <w:rsid w:val="05104E6D"/>
    <w:rsid w:val="053346E9"/>
    <w:rsid w:val="05764F65"/>
    <w:rsid w:val="05A24701"/>
    <w:rsid w:val="05CD4D4D"/>
    <w:rsid w:val="05ED76CD"/>
    <w:rsid w:val="06177D1B"/>
    <w:rsid w:val="06262FF6"/>
    <w:rsid w:val="062766E1"/>
    <w:rsid w:val="065F13E0"/>
    <w:rsid w:val="068A111A"/>
    <w:rsid w:val="07267565"/>
    <w:rsid w:val="074A602C"/>
    <w:rsid w:val="078C18B4"/>
    <w:rsid w:val="07A20F5E"/>
    <w:rsid w:val="0834567D"/>
    <w:rsid w:val="085E5B1B"/>
    <w:rsid w:val="08A72892"/>
    <w:rsid w:val="08B903E4"/>
    <w:rsid w:val="08B975E0"/>
    <w:rsid w:val="08F55D20"/>
    <w:rsid w:val="094A1A48"/>
    <w:rsid w:val="095F7F4C"/>
    <w:rsid w:val="09A60123"/>
    <w:rsid w:val="09AE75F4"/>
    <w:rsid w:val="09B95F2A"/>
    <w:rsid w:val="0A0C7574"/>
    <w:rsid w:val="0A424E4D"/>
    <w:rsid w:val="0AB47D8E"/>
    <w:rsid w:val="0AF769CE"/>
    <w:rsid w:val="0AF82AC1"/>
    <w:rsid w:val="0B005469"/>
    <w:rsid w:val="0B66533A"/>
    <w:rsid w:val="0B84414D"/>
    <w:rsid w:val="0BC7245A"/>
    <w:rsid w:val="0BD46BAD"/>
    <w:rsid w:val="0BE120B2"/>
    <w:rsid w:val="0CAA47CE"/>
    <w:rsid w:val="0CEC43CA"/>
    <w:rsid w:val="0CF93B4B"/>
    <w:rsid w:val="0D50431A"/>
    <w:rsid w:val="0D6921B0"/>
    <w:rsid w:val="0DD645B4"/>
    <w:rsid w:val="0DD74F5A"/>
    <w:rsid w:val="0DF1240A"/>
    <w:rsid w:val="0DF624E0"/>
    <w:rsid w:val="0DF91E0E"/>
    <w:rsid w:val="0E21417E"/>
    <w:rsid w:val="0E346850"/>
    <w:rsid w:val="0E404088"/>
    <w:rsid w:val="0E78305D"/>
    <w:rsid w:val="0EA113FA"/>
    <w:rsid w:val="0ECA11CC"/>
    <w:rsid w:val="0EDB0027"/>
    <w:rsid w:val="0EE028AD"/>
    <w:rsid w:val="0F0019B5"/>
    <w:rsid w:val="0F390E8E"/>
    <w:rsid w:val="0F8F57EF"/>
    <w:rsid w:val="0FF97625"/>
    <w:rsid w:val="0FFA6300"/>
    <w:rsid w:val="10044E18"/>
    <w:rsid w:val="1018304A"/>
    <w:rsid w:val="10722611"/>
    <w:rsid w:val="110475FD"/>
    <w:rsid w:val="11200448"/>
    <w:rsid w:val="113F7E82"/>
    <w:rsid w:val="119066D9"/>
    <w:rsid w:val="11A335B5"/>
    <w:rsid w:val="11AE35E8"/>
    <w:rsid w:val="11DD1222"/>
    <w:rsid w:val="12123D33"/>
    <w:rsid w:val="1219428E"/>
    <w:rsid w:val="129C35E8"/>
    <w:rsid w:val="12C42FA9"/>
    <w:rsid w:val="1303465D"/>
    <w:rsid w:val="13490C7D"/>
    <w:rsid w:val="135C3D02"/>
    <w:rsid w:val="13C5790E"/>
    <w:rsid w:val="147877FB"/>
    <w:rsid w:val="14C8253B"/>
    <w:rsid w:val="14D507B4"/>
    <w:rsid w:val="14E27C21"/>
    <w:rsid w:val="151770AE"/>
    <w:rsid w:val="1537358F"/>
    <w:rsid w:val="153B2049"/>
    <w:rsid w:val="15531F48"/>
    <w:rsid w:val="15614DA8"/>
    <w:rsid w:val="15991314"/>
    <w:rsid w:val="15AD79BC"/>
    <w:rsid w:val="16066864"/>
    <w:rsid w:val="163D0A87"/>
    <w:rsid w:val="16442095"/>
    <w:rsid w:val="16991EF7"/>
    <w:rsid w:val="170F0CFF"/>
    <w:rsid w:val="173850A7"/>
    <w:rsid w:val="174C0AC9"/>
    <w:rsid w:val="177B4CDC"/>
    <w:rsid w:val="17BA7FA6"/>
    <w:rsid w:val="185F2011"/>
    <w:rsid w:val="18C563A4"/>
    <w:rsid w:val="18C878F2"/>
    <w:rsid w:val="18FB18A3"/>
    <w:rsid w:val="192B2CC7"/>
    <w:rsid w:val="197D3E49"/>
    <w:rsid w:val="198B1495"/>
    <w:rsid w:val="1A0725B2"/>
    <w:rsid w:val="1A630ED2"/>
    <w:rsid w:val="1A6C248D"/>
    <w:rsid w:val="1AD23FC4"/>
    <w:rsid w:val="1AE747FC"/>
    <w:rsid w:val="1AF45622"/>
    <w:rsid w:val="1B5A7D5C"/>
    <w:rsid w:val="1B7B26E1"/>
    <w:rsid w:val="1B8A33D7"/>
    <w:rsid w:val="1B98664F"/>
    <w:rsid w:val="1C010930"/>
    <w:rsid w:val="1C1A0C17"/>
    <w:rsid w:val="1C32741A"/>
    <w:rsid w:val="1C405AE5"/>
    <w:rsid w:val="1C577EAD"/>
    <w:rsid w:val="1D0C75F3"/>
    <w:rsid w:val="1D41765A"/>
    <w:rsid w:val="1D5A219E"/>
    <w:rsid w:val="1D905BC0"/>
    <w:rsid w:val="1D960483"/>
    <w:rsid w:val="1DC817B3"/>
    <w:rsid w:val="1DE5157B"/>
    <w:rsid w:val="1DF15284"/>
    <w:rsid w:val="1E071163"/>
    <w:rsid w:val="1E0A2DCB"/>
    <w:rsid w:val="1E5F77E6"/>
    <w:rsid w:val="1EE35BC3"/>
    <w:rsid w:val="1F171CFB"/>
    <w:rsid w:val="1F2B5C48"/>
    <w:rsid w:val="1F3C13B6"/>
    <w:rsid w:val="1F4B49D6"/>
    <w:rsid w:val="1F803199"/>
    <w:rsid w:val="1FCB070D"/>
    <w:rsid w:val="1FCF6F8B"/>
    <w:rsid w:val="1FF85069"/>
    <w:rsid w:val="20E916A5"/>
    <w:rsid w:val="20F41885"/>
    <w:rsid w:val="214679AB"/>
    <w:rsid w:val="2163607F"/>
    <w:rsid w:val="21993B18"/>
    <w:rsid w:val="22464B8D"/>
    <w:rsid w:val="224D2A1A"/>
    <w:rsid w:val="229A201B"/>
    <w:rsid w:val="22B67E76"/>
    <w:rsid w:val="23131962"/>
    <w:rsid w:val="232C687B"/>
    <w:rsid w:val="23670458"/>
    <w:rsid w:val="239974D6"/>
    <w:rsid w:val="23E266D0"/>
    <w:rsid w:val="23E4618A"/>
    <w:rsid w:val="244E3D8C"/>
    <w:rsid w:val="24B335CE"/>
    <w:rsid w:val="24F009A8"/>
    <w:rsid w:val="25786B34"/>
    <w:rsid w:val="25EF0E4B"/>
    <w:rsid w:val="269C26E3"/>
    <w:rsid w:val="26F97002"/>
    <w:rsid w:val="270D6E87"/>
    <w:rsid w:val="272E2D63"/>
    <w:rsid w:val="27410CB9"/>
    <w:rsid w:val="276D441A"/>
    <w:rsid w:val="2861396F"/>
    <w:rsid w:val="28AF6A0B"/>
    <w:rsid w:val="28B44010"/>
    <w:rsid w:val="29044E0B"/>
    <w:rsid w:val="29384EA8"/>
    <w:rsid w:val="295039A3"/>
    <w:rsid w:val="29E26463"/>
    <w:rsid w:val="2A07065D"/>
    <w:rsid w:val="2A0A08C3"/>
    <w:rsid w:val="2A534564"/>
    <w:rsid w:val="2A573A70"/>
    <w:rsid w:val="2AE267A7"/>
    <w:rsid w:val="2B404B09"/>
    <w:rsid w:val="2B6E6470"/>
    <w:rsid w:val="2BFA65A3"/>
    <w:rsid w:val="2BFF63EA"/>
    <w:rsid w:val="2C101F53"/>
    <w:rsid w:val="2C353BD0"/>
    <w:rsid w:val="2C8F0922"/>
    <w:rsid w:val="2CA521C2"/>
    <w:rsid w:val="2CBD48CE"/>
    <w:rsid w:val="2CE211B2"/>
    <w:rsid w:val="2D657944"/>
    <w:rsid w:val="2DBD5025"/>
    <w:rsid w:val="2E015B36"/>
    <w:rsid w:val="2E275F81"/>
    <w:rsid w:val="2E28730F"/>
    <w:rsid w:val="2E4E51C2"/>
    <w:rsid w:val="2E520EAC"/>
    <w:rsid w:val="2E77681E"/>
    <w:rsid w:val="2F4B2B19"/>
    <w:rsid w:val="2F6246CC"/>
    <w:rsid w:val="2F9F2EBA"/>
    <w:rsid w:val="2F9F5447"/>
    <w:rsid w:val="2FC53683"/>
    <w:rsid w:val="2FE97A5F"/>
    <w:rsid w:val="2FFE4B1D"/>
    <w:rsid w:val="300B44EE"/>
    <w:rsid w:val="300C557A"/>
    <w:rsid w:val="305A47DE"/>
    <w:rsid w:val="30626A70"/>
    <w:rsid w:val="30671D75"/>
    <w:rsid w:val="309E348C"/>
    <w:rsid w:val="30CB35CF"/>
    <w:rsid w:val="3122073D"/>
    <w:rsid w:val="31394322"/>
    <w:rsid w:val="3184082E"/>
    <w:rsid w:val="32214672"/>
    <w:rsid w:val="32431C99"/>
    <w:rsid w:val="32583B43"/>
    <w:rsid w:val="32617B06"/>
    <w:rsid w:val="328304A8"/>
    <w:rsid w:val="32BC5F4D"/>
    <w:rsid w:val="33154A22"/>
    <w:rsid w:val="333F433A"/>
    <w:rsid w:val="33684649"/>
    <w:rsid w:val="33E651C3"/>
    <w:rsid w:val="33FE364D"/>
    <w:rsid w:val="3429115A"/>
    <w:rsid w:val="34407F01"/>
    <w:rsid w:val="34427974"/>
    <w:rsid w:val="34F2580B"/>
    <w:rsid w:val="354A5F40"/>
    <w:rsid w:val="35803C3D"/>
    <w:rsid w:val="35F42A51"/>
    <w:rsid w:val="35F965A0"/>
    <w:rsid w:val="35FFEC5E"/>
    <w:rsid w:val="36024564"/>
    <w:rsid w:val="36126E3E"/>
    <w:rsid w:val="361F260A"/>
    <w:rsid w:val="36276335"/>
    <w:rsid w:val="362E1029"/>
    <w:rsid w:val="36981B5D"/>
    <w:rsid w:val="36A9634B"/>
    <w:rsid w:val="36BB6BD4"/>
    <w:rsid w:val="36D079C8"/>
    <w:rsid w:val="36EB7CE0"/>
    <w:rsid w:val="36FD3E6E"/>
    <w:rsid w:val="376501BF"/>
    <w:rsid w:val="377D1279"/>
    <w:rsid w:val="379A5B68"/>
    <w:rsid w:val="37D716E7"/>
    <w:rsid w:val="37E82428"/>
    <w:rsid w:val="37ED2CCA"/>
    <w:rsid w:val="38631B53"/>
    <w:rsid w:val="386D5472"/>
    <w:rsid w:val="390327BB"/>
    <w:rsid w:val="394E33E8"/>
    <w:rsid w:val="396C6CF4"/>
    <w:rsid w:val="398E6F62"/>
    <w:rsid w:val="39BA6046"/>
    <w:rsid w:val="3A290002"/>
    <w:rsid w:val="3A2E128F"/>
    <w:rsid w:val="3A7C5B6F"/>
    <w:rsid w:val="3A8F3EBA"/>
    <w:rsid w:val="3A920D71"/>
    <w:rsid w:val="3AB10259"/>
    <w:rsid w:val="3ABA6222"/>
    <w:rsid w:val="3AD674BD"/>
    <w:rsid w:val="3B1B510F"/>
    <w:rsid w:val="3B301F44"/>
    <w:rsid w:val="3B3716DA"/>
    <w:rsid w:val="3B9373E6"/>
    <w:rsid w:val="3BAE4829"/>
    <w:rsid w:val="3BDF73C5"/>
    <w:rsid w:val="3C017E77"/>
    <w:rsid w:val="3C05453A"/>
    <w:rsid w:val="3C34130B"/>
    <w:rsid w:val="3C4C39CC"/>
    <w:rsid w:val="3D735C9C"/>
    <w:rsid w:val="3D743CDB"/>
    <w:rsid w:val="3D902D22"/>
    <w:rsid w:val="3DF4021A"/>
    <w:rsid w:val="3E047963"/>
    <w:rsid w:val="3E8E5BBA"/>
    <w:rsid w:val="3EDC10FF"/>
    <w:rsid w:val="3F0A5E23"/>
    <w:rsid w:val="3F3F2FD1"/>
    <w:rsid w:val="3F520FBF"/>
    <w:rsid w:val="3F9803DD"/>
    <w:rsid w:val="3FE57CA4"/>
    <w:rsid w:val="402E1B38"/>
    <w:rsid w:val="404C668C"/>
    <w:rsid w:val="405A4873"/>
    <w:rsid w:val="406022E2"/>
    <w:rsid w:val="407B3EBF"/>
    <w:rsid w:val="40BE5142"/>
    <w:rsid w:val="40DF693D"/>
    <w:rsid w:val="40EE5020"/>
    <w:rsid w:val="40F16A8E"/>
    <w:rsid w:val="411C5418"/>
    <w:rsid w:val="412545BE"/>
    <w:rsid w:val="41314E40"/>
    <w:rsid w:val="4184340D"/>
    <w:rsid w:val="41E21275"/>
    <w:rsid w:val="42F6152E"/>
    <w:rsid w:val="42FF6CFF"/>
    <w:rsid w:val="43075E6E"/>
    <w:rsid w:val="43771108"/>
    <w:rsid w:val="438C4E1A"/>
    <w:rsid w:val="44174028"/>
    <w:rsid w:val="446523D2"/>
    <w:rsid w:val="44765180"/>
    <w:rsid w:val="44BB500C"/>
    <w:rsid w:val="44DA0696"/>
    <w:rsid w:val="44E45943"/>
    <w:rsid w:val="4583380E"/>
    <w:rsid w:val="45993146"/>
    <w:rsid w:val="459E79F0"/>
    <w:rsid w:val="45EB3538"/>
    <w:rsid w:val="46440499"/>
    <w:rsid w:val="46771AC0"/>
    <w:rsid w:val="47347438"/>
    <w:rsid w:val="476D46F8"/>
    <w:rsid w:val="47777325"/>
    <w:rsid w:val="47867C8A"/>
    <w:rsid w:val="479B001B"/>
    <w:rsid w:val="47D21CE6"/>
    <w:rsid w:val="47F52C67"/>
    <w:rsid w:val="48623AD3"/>
    <w:rsid w:val="486274F2"/>
    <w:rsid w:val="48876507"/>
    <w:rsid w:val="48A14890"/>
    <w:rsid w:val="48BD0CBA"/>
    <w:rsid w:val="4A4C0CEF"/>
    <w:rsid w:val="4A67403B"/>
    <w:rsid w:val="4A734E79"/>
    <w:rsid w:val="4AD27698"/>
    <w:rsid w:val="4B1B114F"/>
    <w:rsid w:val="4B250368"/>
    <w:rsid w:val="4B7F6C9B"/>
    <w:rsid w:val="4B857DCA"/>
    <w:rsid w:val="4BB01238"/>
    <w:rsid w:val="4C2F1AF1"/>
    <w:rsid w:val="4C3F1A69"/>
    <w:rsid w:val="4C4C7D4D"/>
    <w:rsid w:val="4C692E82"/>
    <w:rsid w:val="4C763A08"/>
    <w:rsid w:val="4C8C4AEC"/>
    <w:rsid w:val="4C9B795E"/>
    <w:rsid w:val="4C9C7CB9"/>
    <w:rsid w:val="4CA216B0"/>
    <w:rsid w:val="4CA7336B"/>
    <w:rsid w:val="4D001539"/>
    <w:rsid w:val="4D060FF1"/>
    <w:rsid w:val="4D714797"/>
    <w:rsid w:val="4D9E7AA8"/>
    <w:rsid w:val="4D9F0EEA"/>
    <w:rsid w:val="4DA60964"/>
    <w:rsid w:val="4E2F6DEC"/>
    <w:rsid w:val="4E3C703C"/>
    <w:rsid w:val="4E6C673E"/>
    <w:rsid w:val="4F095D32"/>
    <w:rsid w:val="4F1A4882"/>
    <w:rsid w:val="4F3C4DEC"/>
    <w:rsid w:val="4F7C5051"/>
    <w:rsid w:val="4FDB2778"/>
    <w:rsid w:val="504900D3"/>
    <w:rsid w:val="50653B4A"/>
    <w:rsid w:val="50EA2B95"/>
    <w:rsid w:val="516620A8"/>
    <w:rsid w:val="5175589A"/>
    <w:rsid w:val="525A1D1D"/>
    <w:rsid w:val="526E31F5"/>
    <w:rsid w:val="52892F5B"/>
    <w:rsid w:val="52C04276"/>
    <w:rsid w:val="52F076BA"/>
    <w:rsid w:val="52F61709"/>
    <w:rsid w:val="532C190B"/>
    <w:rsid w:val="54073585"/>
    <w:rsid w:val="543453A5"/>
    <w:rsid w:val="544970EA"/>
    <w:rsid w:val="54843BCA"/>
    <w:rsid w:val="54D275F5"/>
    <w:rsid w:val="54DB7C79"/>
    <w:rsid w:val="54E74E26"/>
    <w:rsid w:val="55166F69"/>
    <w:rsid w:val="55580A4D"/>
    <w:rsid w:val="558B7070"/>
    <w:rsid w:val="55B45B96"/>
    <w:rsid w:val="55DC1770"/>
    <w:rsid w:val="55EB22AC"/>
    <w:rsid w:val="55FF6407"/>
    <w:rsid w:val="561133F2"/>
    <w:rsid w:val="56401CD5"/>
    <w:rsid w:val="56571FFA"/>
    <w:rsid w:val="56576C9F"/>
    <w:rsid w:val="56A92CC7"/>
    <w:rsid w:val="56D204E6"/>
    <w:rsid w:val="5772766D"/>
    <w:rsid w:val="581D5AED"/>
    <w:rsid w:val="586D09FC"/>
    <w:rsid w:val="58BD10F2"/>
    <w:rsid w:val="58CD33C2"/>
    <w:rsid w:val="596469D4"/>
    <w:rsid w:val="59BD375F"/>
    <w:rsid w:val="5A026F22"/>
    <w:rsid w:val="5A435D8A"/>
    <w:rsid w:val="5AC60A34"/>
    <w:rsid w:val="5BBC1D09"/>
    <w:rsid w:val="5BF3112F"/>
    <w:rsid w:val="5C34380B"/>
    <w:rsid w:val="5C441E45"/>
    <w:rsid w:val="5CBA4C19"/>
    <w:rsid w:val="5D194289"/>
    <w:rsid w:val="5D2C4636"/>
    <w:rsid w:val="5D8C2B4C"/>
    <w:rsid w:val="5DC32E71"/>
    <w:rsid w:val="5E402B64"/>
    <w:rsid w:val="5E473A9D"/>
    <w:rsid w:val="5E94654C"/>
    <w:rsid w:val="5EE96902"/>
    <w:rsid w:val="5F001951"/>
    <w:rsid w:val="5F724B4A"/>
    <w:rsid w:val="5F7B4311"/>
    <w:rsid w:val="5F912AC4"/>
    <w:rsid w:val="5FA35FE5"/>
    <w:rsid w:val="5FD14724"/>
    <w:rsid w:val="600C4824"/>
    <w:rsid w:val="60153D3C"/>
    <w:rsid w:val="60700F30"/>
    <w:rsid w:val="607B7DDA"/>
    <w:rsid w:val="60E87B88"/>
    <w:rsid w:val="60F36AC5"/>
    <w:rsid w:val="61A76748"/>
    <w:rsid w:val="61D91A2E"/>
    <w:rsid w:val="62900431"/>
    <w:rsid w:val="62B731FE"/>
    <w:rsid w:val="62C52E85"/>
    <w:rsid w:val="62F05149"/>
    <w:rsid w:val="63023C80"/>
    <w:rsid w:val="63685D38"/>
    <w:rsid w:val="636D3AA1"/>
    <w:rsid w:val="644400F3"/>
    <w:rsid w:val="64A04202"/>
    <w:rsid w:val="64F22548"/>
    <w:rsid w:val="65033676"/>
    <w:rsid w:val="65442BCD"/>
    <w:rsid w:val="65610558"/>
    <w:rsid w:val="659106E2"/>
    <w:rsid w:val="65AB236D"/>
    <w:rsid w:val="65B8080F"/>
    <w:rsid w:val="66032238"/>
    <w:rsid w:val="662276B1"/>
    <w:rsid w:val="66400118"/>
    <w:rsid w:val="66482160"/>
    <w:rsid w:val="66483EC5"/>
    <w:rsid w:val="665A4EEE"/>
    <w:rsid w:val="66704DB4"/>
    <w:rsid w:val="66A04F95"/>
    <w:rsid w:val="66B26720"/>
    <w:rsid w:val="67102453"/>
    <w:rsid w:val="6734799D"/>
    <w:rsid w:val="67582877"/>
    <w:rsid w:val="67AE1F3C"/>
    <w:rsid w:val="680622D3"/>
    <w:rsid w:val="684E3E14"/>
    <w:rsid w:val="686C2F70"/>
    <w:rsid w:val="68A67F29"/>
    <w:rsid w:val="68C15CCA"/>
    <w:rsid w:val="68F62689"/>
    <w:rsid w:val="69350DCE"/>
    <w:rsid w:val="697D619C"/>
    <w:rsid w:val="697E5CFD"/>
    <w:rsid w:val="69EE3D79"/>
    <w:rsid w:val="6A0E091D"/>
    <w:rsid w:val="6A386990"/>
    <w:rsid w:val="6ABA50AD"/>
    <w:rsid w:val="6ABC175A"/>
    <w:rsid w:val="6B006918"/>
    <w:rsid w:val="6B58725B"/>
    <w:rsid w:val="6BA94127"/>
    <w:rsid w:val="6BFE46EA"/>
    <w:rsid w:val="6C437057"/>
    <w:rsid w:val="6C7F53F2"/>
    <w:rsid w:val="6C8B20CC"/>
    <w:rsid w:val="6CB752B5"/>
    <w:rsid w:val="6CEE487B"/>
    <w:rsid w:val="6D616AB2"/>
    <w:rsid w:val="6DD54955"/>
    <w:rsid w:val="6E290AC9"/>
    <w:rsid w:val="6E7A2566"/>
    <w:rsid w:val="6EB71B5D"/>
    <w:rsid w:val="6F447A17"/>
    <w:rsid w:val="6F4B16BB"/>
    <w:rsid w:val="6F773253"/>
    <w:rsid w:val="6FD11419"/>
    <w:rsid w:val="704217E5"/>
    <w:rsid w:val="7076354C"/>
    <w:rsid w:val="707E56F3"/>
    <w:rsid w:val="70F6444B"/>
    <w:rsid w:val="71152000"/>
    <w:rsid w:val="71951D13"/>
    <w:rsid w:val="721756F7"/>
    <w:rsid w:val="7231680E"/>
    <w:rsid w:val="72BD5AD1"/>
    <w:rsid w:val="72C87BB3"/>
    <w:rsid w:val="72D3551B"/>
    <w:rsid w:val="73584FE4"/>
    <w:rsid w:val="735F6117"/>
    <w:rsid w:val="73A40AD9"/>
    <w:rsid w:val="73BC3875"/>
    <w:rsid w:val="73FC40C7"/>
    <w:rsid w:val="745D4D21"/>
    <w:rsid w:val="74EE65C9"/>
    <w:rsid w:val="750D2EF3"/>
    <w:rsid w:val="752F342A"/>
    <w:rsid w:val="75C509F0"/>
    <w:rsid w:val="76CB6D18"/>
    <w:rsid w:val="76ED37EF"/>
    <w:rsid w:val="770F21D1"/>
    <w:rsid w:val="77667E4C"/>
    <w:rsid w:val="77BF7315"/>
    <w:rsid w:val="77CE218A"/>
    <w:rsid w:val="78532959"/>
    <w:rsid w:val="78A7019A"/>
    <w:rsid w:val="78DF6F7C"/>
    <w:rsid w:val="78FB12B4"/>
    <w:rsid w:val="790A6E9A"/>
    <w:rsid w:val="791870B6"/>
    <w:rsid w:val="796D5B63"/>
    <w:rsid w:val="798D055E"/>
    <w:rsid w:val="79B2097F"/>
    <w:rsid w:val="79BA3B0E"/>
    <w:rsid w:val="79E33FE0"/>
    <w:rsid w:val="7A067586"/>
    <w:rsid w:val="7A287679"/>
    <w:rsid w:val="7A657835"/>
    <w:rsid w:val="7ABB6962"/>
    <w:rsid w:val="7AF4539C"/>
    <w:rsid w:val="7BBD37FF"/>
    <w:rsid w:val="7BBFE36C"/>
    <w:rsid w:val="7C013D85"/>
    <w:rsid w:val="7C662C4B"/>
    <w:rsid w:val="7CB32C8C"/>
    <w:rsid w:val="7D241628"/>
    <w:rsid w:val="7D733ECF"/>
    <w:rsid w:val="7DB40A20"/>
    <w:rsid w:val="7DC2451F"/>
    <w:rsid w:val="7DCE57EF"/>
    <w:rsid w:val="7DE7143A"/>
    <w:rsid w:val="7E136A50"/>
    <w:rsid w:val="7E410F70"/>
    <w:rsid w:val="7E49765A"/>
    <w:rsid w:val="7E4C0FEB"/>
    <w:rsid w:val="7EA857C5"/>
    <w:rsid w:val="7EBE0C5A"/>
    <w:rsid w:val="7EFB3C47"/>
    <w:rsid w:val="7F6271D2"/>
    <w:rsid w:val="7F850ECB"/>
    <w:rsid w:val="7F9E2999"/>
    <w:rsid w:val="7FAA2F0C"/>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8"/>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59"/>
    <w:qFormat/>
    <w:uiPriority w:val="0"/>
    <w:pPr>
      <w:keepNext/>
      <w:outlineLvl w:val="0"/>
    </w:pPr>
    <w:rPr>
      <w:sz w:val="28"/>
      <w:szCs w:val="24"/>
    </w:rPr>
  </w:style>
  <w:style w:type="paragraph" w:styleId="6">
    <w:name w:val="heading 2"/>
    <w:basedOn w:val="1"/>
    <w:next w:val="1"/>
    <w:link w:val="115"/>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61"/>
    <w:autoRedefine/>
    <w:qFormat/>
    <w:uiPriority w:val="0"/>
    <w:pPr>
      <w:keepNext/>
      <w:keepLines/>
      <w:spacing w:before="260" w:after="260" w:line="416" w:lineRule="auto"/>
      <w:outlineLvl w:val="2"/>
    </w:pPr>
    <w:rPr>
      <w:b/>
      <w:bCs/>
      <w:sz w:val="32"/>
      <w:szCs w:val="32"/>
      <w:lang w:val="zh-CN"/>
    </w:rPr>
  </w:style>
  <w:style w:type="paragraph" w:styleId="8">
    <w:name w:val="heading 4"/>
    <w:basedOn w:val="1"/>
    <w:next w:val="1"/>
    <w:link w:val="62"/>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spacing w:line="400" w:lineRule="atLeast"/>
      <w:ind w:firstLine="426"/>
    </w:pPr>
    <w:rPr>
      <w:sz w:val="24"/>
      <w:szCs w:val="20"/>
    </w:rPr>
  </w:style>
  <w:style w:type="paragraph" w:styleId="3">
    <w:name w:val="Body Text"/>
    <w:basedOn w:val="1"/>
    <w:next w:val="4"/>
    <w:link w:val="75"/>
    <w:qFormat/>
    <w:uiPriority w:val="0"/>
    <w:pPr>
      <w:spacing w:after="120"/>
    </w:pPr>
    <w:rPr>
      <w:szCs w:val="24"/>
    </w:rPr>
  </w:style>
  <w:style w:type="paragraph" w:customStyle="1" w:styleId="4">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9">
    <w:name w:val="toc 7"/>
    <w:basedOn w:val="1"/>
    <w:next w:val="1"/>
    <w:autoRedefine/>
    <w:qFormat/>
    <w:uiPriority w:val="0"/>
    <w:pPr>
      <w:ind w:left="2520" w:leftChars="1200"/>
    </w:pPr>
  </w:style>
  <w:style w:type="paragraph" w:styleId="10">
    <w:name w:val="Document Map"/>
    <w:basedOn w:val="1"/>
    <w:link w:val="86"/>
    <w:autoRedefine/>
    <w:qFormat/>
    <w:uiPriority w:val="0"/>
    <w:pPr>
      <w:shd w:val="clear" w:color="auto" w:fill="000080"/>
    </w:pPr>
  </w:style>
  <w:style w:type="paragraph" w:styleId="11">
    <w:name w:val="annotation text"/>
    <w:basedOn w:val="1"/>
    <w:link w:val="80"/>
    <w:autoRedefine/>
    <w:semiHidden/>
    <w:qFormat/>
    <w:uiPriority w:val="99"/>
    <w:pPr>
      <w:jc w:val="left"/>
    </w:pPr>
  </w:style>
  <w:style w:type="paragraph" w:styleId="12">
    <w:name w:val="Body Text 3"/>
    <w:basedOn w:val="1"/>
    <w:link w:val="100"/>
    <w:autoRedefine/>
    <w:unhideWhenUsed/>
    <w:qFormat/>
    <w:uiPriority w:val="99"/>
    <w:pPr>
      <w:spacing w:after="120"/>
    </w:pPr>
    <w:rPr>
      <w:rFonts w:ascii="Calibri" w:hAnsi="Calibri"/>
      <w:sz w:val="16"/>
      <w:szCs w:val="16"/>
      <w:lang w:val="zh-CN"/>
    </w:rPr>
  </w:style>
  <w:style w:type="paragraph" w:styleId="13">
    <w:name w:val="Body Text Indent"/>
    <w:basedOn w:val="1"/>
    <w:next w:val="14"/>
    <w:link w:val="64"/>
    <w:autoRedefine/>
    <w:qFormat/>
    <w:uiPriority w:val="0"/>
    <w:pPr>
      <w:ind w:firstLine="540"/>
    </w:pPr>
    <w:rPr>
      <w:rFonts w:eastAsia="仿宋_GB2312"/>
      <w:sz w:val="28"/>
    </w:rPr>
  </w:style>
  <w:style w:type="paragraph" w:styleId="14">
    <w:name w:val="envelope return"/>
    <w:basedOn w:val="1"/>
    <w:autoRedefine/>
    <w:unhideWhenUsed/>
    <w:qFormat/>
    <w:uiPriority w:val="99"/>
    <w:pPr>
      <w:snapToGrid w:val="0"/>
      <w:spacing w:line="360" w:lineRule="auto"/>
    </w:pPr>
    <w:rPr>
      <w:rFonts w:ascii="Arial" w:hAnsi="Arial" w:cs="Arial"/>
    </w:rPr>
  </w:style>
  <w:style w:type="paragraph" w:styleId="15">
    <w:name w:val="toc 5"/>
    <w:basedOn w:val="1"/>
    <w:next w:val="1"/>
    <w:qFormat/>
    <w:uiPriority w:val="0"/>
    <w:pPr>
      <w:ind w:left="1680" w:leftChars="800"/>
    </w:pPr>
  </w:style>
  <w:style w:type="paragraph" w:styleId="16">
    <w:name w:val="toc 3"/>
    <w:basedOn w:val="1"/>
    <w:next w:val="1"/>
    <w:autoRedefine/>
    <w:qFormat/>
    <w:uiPriority w:val="39"/>
    <w:pPr>
      <w:ind w:left="840" w:leftChars="400"/>
    </w:pPr>
  </w:style>
  <w:style w:type="paragraph" w:styleId="17">
    <w:name w:val="Plain Text"/>
    <w:basedOn w:val="1"/>
    <w:link w:val="83"/>
    <w:autoRedefine/>
    <w:qFormat/>
    <w:uiPriority w:val="0"/>
    <w:rPr>
      <w:rFonts w:ascii="宋体" w:hAnsi="Courier New" w:cstheme="minorBidi"/>
      <w:szCs w:val="22"/>
    </w:rPr>
  </w:style>
  <w:style w:type="paragraph" w:styleId="18">
    <w:name w:val="toc 8"/>
    <w:basedOn w:val="1"/>
    <w:next w:val="1"/>
    <w:autoRedefine/>
    <w:qFormat/>
    <w:uiPriority w:val="0"/>
    <w:pPr>
      <w:ind w:left="2940" w:leftChars="1400"/>
    </w:pPr>
  </w:style>
  <w:style w:type="paragraph" w:styleId="19">
    <w:name w:val="Date"/>
    <w:basedOn w:val="1"/>
    <w:next w:val="1"/>
    <w:link w:val="63"/>
    <w:autoRedefine/>
    <w:qFormat/>
    <w:uiPriority w:val="0"/>
    <w:rPr>
      <w:rFonts w:ascii="Arial" w:hAnsi="Arial" w:eastAsia="楷体_GB2312"/>
      <w:sz w:val="28"/>
    </w:rPr>
  </w:style>
  <w:style w:type="paragraph" w:styleId="20">
    <w:name w:val="Body Text Indent 2"/>
    <w:basedOn w:val="1"/>
    <w:link w:val="66"/>
    <w:autoRedefine/>
    <w:qFormat/>
    <w:uiPriority w:val="0"/>
    <w:pPr>
      <w:tabs>
        <w:tab w:val="left" w:pos="720"/>
      </w:tabs>
      <w:ind w:right="-506" w:rightChars="-241" w:firstLine="538" w:firstLineChars="192"/>
    </w:pPr>
    <w:rPr>
      <w:rFonts w:eastAsia="仿宋_GB2312"/>
      <w:sz w:val="28"/>
    </w:rPr>
  </w:style>
  <w:style w:type="paragraph" w:styleId="21">
    <w:name w:val="Balloon Text"/>
    <w:basedOn w:val="1"/>
    <w:link w:val="77"/>
    <w:autoRedefine/>
    <w:qFormat/>
    <w:uiPriority w:val="0"/>
    <w:rPr>
      <w:sz w:val="18"/>
      <w:szCs w:val="18"/>
    </w:rPr>
  </w:style>
  <w:style w:type="paragraph" w:styleId="22">
    <w:name w:val="footer"/>
    <w:basedOn w:val="1"/>
    <w:link w:val="58"/>
    <w:autoRedefine/>
    <w:unhideWhenUsed/>
    <w:qFormat/>
    <w:uiPriority w:val="99"/>
    <w:pPr>
      <w:tabs>
        <w:tab w:val="center" w:pos="4153"/>
        <w:tab w:val="right" w:pos="8306"/>
      </w:tabs>
      <w:snapToGrid w:val="0"/>
      <w:jc w:val="left"/>
    </w:pPr>
    <w:rPr>
      <w:sz w:val="18"/>
      <w:szCs w:val="18"/>
    </w:rPr>
  </w:style>
  <w:style w:type="paragraph" w:styleId="23">
    <w:name w:val="header"/>
    <w:basedOn w:val="1"/>
    <w:link w:val="5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style>
  <w:style w:type="paragraph" w:styleId="25">
    <w:name w:val="toc 4"/>
    <w:basedOn w:val="1"/>
    <w:next w:val="1"/>
    <w:autoRedefine/>
    <w:qFormat/>
    <w:uiPriority w:val="0"/>
    <w:pPr>
      <w:ind w:left="1260" w:leftChars="600"/>
    </w:pPr>
  </w:style>
  <w:style w:type="paragraph" w:styleId="26">
    <w:name w:val="toc 6"/>
    <w:basedOn w:val="1"/>
    <w:next w:val="1"/>
    <w:autoRedefine/>
    <w:qFormat/>
    <w:uiPriority w:val="0"/>
    <w:pPr>
      <w:ind w:left="2100" w:leftChars="1000"/>
    </w:pPr>
  </w:style>
  <w:style w:type="paragraph" w:styleId="27">
    <w:name w:val="Body Text Indent 3"/>
    <w:basedOn w:val="1"/>
    <w:link w:val="72"/>
    <w:autoRedefine/>
    <w:qFormat/>
    <w:uiPriority w:val="0"/>
    <w:pPr>
      <w:ind w:left="178" w:leftChars="85" w:firstLine="560" w:firstLineChars="200"/>
    </w:pPr>
    <w:rPr>
      <w:rFonts w:ascii="仿宋_GB2312" w:hAnsi="Arial" w:eastAsia="仿宋_GB2312"/>
      <w:sz w:val="28"/>
      <w:szCs w:val="24"/>
    </w:rPr>
  </w:style>
  <w:style w:type="paragraph" w:styleId="28">
    <w:name w:val="toc 2"/>
    <w:basedOn w:val="1"/>
    <w:next w:val="1"/>
    <w:qFormat/>
    <w:uiPriority w:val="39"/>
    <w:pPr>
      <w:ind w:left="420" w:leftChars="200"/>
    </w:pPr>
  </w:style>
  <w:style w:type="paragraph" w:styleId="29">
    <w:name w:val="toc 9"/>
    <w:basedOn w:val="1"/>
    <w:next w:val="1"/>
    <w:autoRedefine/>
    <w:qFormat/>
    <w:uiPriority w:val="0"/>
    <w:pPr>
      <w:ind w:left="3360" w:leftChars="1600"/>
    </w:pPr>
  </w:style>
  <w:style w:type="paragraph" w:styleId="30">
    <w:name w:val="Body Text 2"/>
    <w:basedOn w:val="1"/>
    <w:autoRedefine/>
    <w:qFormat/>
    <w:uiPriority w:val="0"/>
    <w:pPr>
      <w:spacing w:after="120" w:line="480" w:lineRule="auto"/>
    </w:pPr>
  </w:style>
  <w:style w:type="paragraph" w:styleId="31">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unhideWhenUsed/>
    <w:qFormat/>
    <w:uiPriority w:val="99"/>
    <w:pPr>
      <w:jc w:val="left"/>
    </w:pPr>
    <w:rPr>
      <w:kern w:val="0"/>
      <w:sz w:val="24"/>
    </w:rPr>
  </w:style>
  <w:style w:type="paragraph" w:styleId="33">
    <w:name w:val="index 1"/>
    <w:basedOn w:val="1"/>
    <w:next w:val="1"/>
    <w:autoRedefine/>
    <w:semiHidden/>
    <w:qFormat/>
    <w:uiPriority w:val="0"/>
    <w:pPr>
      <w:jc w:val="center"/>
    </w:pPr>
    <w:rPr>
      <w:rFonts w:ascii="仿宋_GB2312" w:eastAsia="仿宋_GB2312"/>
      <w:b/>
      <w:bCs/>
      <w:sz w:val="28"/>
    </w:rPr>
  </w:style>
  <w:style w:type="paragraph" w:styleId="34">
    <w:name w:val="annotation subject"/>
    <w:basedOn w:val="11"/>
    <w:next w:val="11"/>
    <w:link w:val="81"/>
    <w:autoRedefine/>
    <w:semiHidden/>
    <w:qFormat/>
    <w:uiPriority w:val="99"/>
    <w:rPr>
      <w:b/>
      <w:bCs/>
    </w:rPr>
  </w:style>
  <w:style w:type="paragraph" w:styleId="35">
    <w:name w:val="Body Text First Indent 2"/>
    <w:basedOn w:val="13"/>
    <w:next w:val="1"/>
    <w:autoRedefine/>
    <w:qFormat/>
    <w:uiPriority w:val="0"/>
    <w:pPr>
      <w:spacing w:line="360" w:lineRule="auto"/>
      <w:jc w:val="left"/>
    </w:pPr>
    <w:rPr>
      <w:rFonts w:cs="宋体"/>
      <w:sz w:val="28"/>
      <w:szCs w:val="28"/>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b/>
      <w:bCs/>
    </w:rPr>
  </w:style>
  <w:style w:type="character" w:styleId="40">
    <w:name w:val="page number"/>
    <w:basedOn w:val="38"/>
    <w:autoRedefine/>
    <w:qFormat/>
    <w:uiPriority w:val="0"/>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Emphasis"/>
    <w:basedOn w:val="38"/>
    <w:autoRedefine/>
    <w:qFormat/>
    <w:uiPriority w:val="20"/>
    <w:rPr>
      <w:b/>
      <w:bCs/>
    </w:rPr>
  </w:style>
  <w:style w:type="character" w:styleId="43">
    <w:name w:val="HTML Definition"/>
    <w:basedOn w:val="38"/>
    <w:autoRedefine/>
    <w:semiHidden/>
    <w:unhideWhenUsed/>
    <w:qFormat/>
    <w:uiPriority w:val="99"/>
  </w:style>
  <w:style w:type="character" w:styleId="44">
    <w:name w:val="HTML Typewriter"/>
    <w:basedOn w:val="38"/>
    <w:autoRedefine/>
    <w:semiHidden/>
    <w:unhideWhenUsed/>
    <w:qFormat/>
    <w:uiPriority w:val="99"/>
    <w:rPr>
      <w:rFonts w:hint="default" w:ascii="monospace" w:hAnsi="monospace" w:eastAsia="monospace" w:cs="monospace"/>
      <w:sz w:val="20"/>
    </w:rPr>
  </w:style>
  <w:style w:type="character" w:styleId="45">
    <w:name w:val="HTML Acronym"/>
    <w:basedOn w:val="38"/>
    <w:autoRedefine/>
    <w:semiHidden/>
    <w:unhideWhenUsed/>
    <w:qFormat/>
    <w:uiPriority w:val="99"/>
  </w:style>
  <w:style w:type="character" w:styleId="46">
    <w:name w:val="HTML Variable"/>
    <w:basedOn w:val="38"/>
    <w:autoRedefine/>
    <w:semiHidden/>
    <w:unhideWhenUsed/>
    <w:qFormat/>
    <w:uiPriority w:val="99"/>
  </w:style>
  <w:style w:type="character" w:styleId="47">
    <w:name w:val="Hyperlink"/>
    <w:basedOn w:val="38"/>
    <w:autoRedefine/>
    <w:qFormat/>
    <w:uiPriority w:val="99"/>
    <w:rPr>
      <w:color w:val="333333"/>
      <w:u w:val="none"/>
    </w:rPr>
  </w:style>
  <w:style w:type="character" w:styleId="48">
    <w:name w:val="HTML Code"/>
    <w:basedOn w:val="38"/>
    <w:autoRedefine/>
    <w:semiHidden/>
    <w:unhideWhenUsed/>
    <w:qFormat/>
    <w:uiPriority w:val="99"/>
    <w:rPr>
      <w:rFonts w:hint="default" w:ascii="monospace" w:hAnsi="monospace" w:eastAsia="monospace" w:cs="monospace"/>
      <w:sz w:val="20"/>
    </w:rPr>
  </w:style>
  <w:style w:type="character" w:styleId="49">
    <w:name w:val="annotation reference"/>
    <w:autoRedefine/>
    <w:semiHidden/>
    <w:qFormat/>
    <w:uiPriority w:val="99"/>
    <w:rPr>
      <w:sz w:val="21"/>
      <w:szCs w:val="21"/>
    </w:rPr>
  </w:style>
  <w:style w:type="character" w:styleId="50">
    <w:name w:val="HTML Cite"/>
    <w:basedOn w:val="38"/>
    <w:autoRedefine/>
    <w:semiHidden/>
    <w:unhideWhenUsed/>
    <w:qFormat/>
    <w:uiPriority w:val="99"/>
  </w:style>
  <w:style w:type="character" w:styleId="51">
    <w:name w:val="HTML Keyboard"/>
    <w:basedOn w:val="38"/>
    <w:autoRedefine/>
    <w:semiHidden/>
    <w:unhideWhenUsed/>
    <w:qFormat/>
    <w:uiPriority w:val="99"/>
    <w:rPr>
      <w:rFonts w:ascii="monospace" w:hAnsi="monospace" w:eastAsia="monospace" w:cs="monospace"/>
      <w:sz w:val="20"/>
    </w:rPr>
  </w:style>
  <w:style w:type="character" w:styleId="52">
    <w:name w:val="HTML Sample"/>
    <w:basedOn w:val="38"/>
    <w:autoRedefine/>
    <w:semiHidden/>
    <w:unhideWhenUsed/>
    <w:qFormat/>
    <w:uiPriority w:val="99"/>
    <w:rPr>
      <w:rFonts w:hint="default" w:ascii="monospace" w:hAnsi="monospace" w:eastAsia="monospace" w:cs="monospace"/>
    </w:rPr>
  </w:style>
  <w:style w:type="paragraph" w:customStyle="1" w:styleId="53">
    <w:name w:val="style4"/>
    <w:basedOn w:val="1"/>
    <w:next w:val="54"/>
    <w:autoRedefine/>
    <w:qFormat/>
    <w:uiPriority w:val="0"/>
    <w:pPr>
      <w:widowControl/>
      <w:spacing w:before="280" w:after="280"/>
    </w:pPr>
    <w:rPr>
      <w:rFonts w:ascii="宋体"/>
      <w:sz w:val="18"/>
    </w:rPr>
  </w:style>
  <w:style w:type="paragraph" w:customStyle="1" w:styleId="5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5">
    <w:name w:val="列出段落1"/>
    <w:basedOn w:val="1"/>
    <w:autoRedefine/>
    <w:qFormat/>
    <w:uiPriority w:val="0"/>
    <w:pPr>
      <w:ind w:firstLine="420" w:firstLineChars="200"/>
    </w:pPr>
    <w:rPr>
      <w:rFonts w:ascii="Calibri" w:hAnsi="Calibri"/>
      <w:szCs w:val="22"/>
    </w:rPr>
  </w:style>
  <w:style w:type="paragraph" w:customStyle="1" w:styleId="56">
    <w:name w:val="目录 71"/>
    <w:basedOn w:val="1"/>
    <w:next w:val="1"/>
    <w:autoRedefine/>
    <w:qFormat/>
    <w:uiPriority w:val="0"/>
    <w:pPr>
      <w:ind w:left="2520"/>
    </w:pPr>
    <w:rPr>
      <w:rFonts w:ascii="Calibri"/>
    </w:rPr>
  </w:style>
  <w:style w:type="character" w:customStyle="1" w:styleId="57">
    <w:name w:val="页眉 字符"/>
    <w:basedOn w:val="38"/>
    <w:link w:val="23"/>
    <w:autoRedefine/>
    <w:qFormat/>
    <w:uiPriority w:val="0"/>
    <w:rPr>
      <w:sz w:val="18"/>
      <w:szCs w:val="18"/>
    </w:rPr>
  </w:style>
  <w:style w:type="character" w:customStyle="1" w:styleId="58">
    <w:name w:val="页脚 字符"/>
    <w:basedOn w:val="38"/>
    <w:link w:val="22"/>
    <w:autoRedefine/>
    <w:qFormat/>
    <w:uiPriority w:val="0"/>
    <w:rPr>
      <w:sz w:val="18"/>
      <w:szCs w:val="18"/>
    </w:rPr>
  </w:style>
  <w:style w:type="character" w:customStyle="1" w:styleId="59">
    <w:name w:val="标题 1 字符"/>
    <w:basedOn w:val="38"/>
    <w:link w:val="5"/>
    <w:autoRedefine/>
    <w:qFormat/>
    <w:uiPriority w:val="0"/>
    <w:rPr>
      <w:rFonts w:ascii="Times New Roman" w:hAnsi="Times New Roman" w:eastAsia="宋体" w:cs="Times New Roman"/>
      <w:sz w:val="28"/>
      <w:szCs w:val="24"/>
    </w:rPr>
  </w:style>
  <w:style w:type="character" w:customStyle="1" w:styleId="60">
    <w:name w:val="标题 2 Char"/>
    <w:basedOn w:val="38"/>
    <w:autoRedefine/>
    <w:qFormat/>
    <w:uiPriority w:val="0"/>
    <w:rPr>
      <w:rFonts w:ascii="Arial" w:hAnsi="Arial" w:eastAsia="黑体" w:cs="Times New Roman"/>
      <w:b/>
      <w:kern w:val="0"/>
      <w:sz w:val="32"/>
      <w:szCs w:val="20"/>
    </w:rPr>
  </w:style>
  <w:style w:type="character" w:customStyle="1" w:styleId="61">
    <w:name w:val="标题 3 字符"/>
    <w:basedOn w:val="38"/>
    <w:link w:val="7"/>
    <w:autoRedefine/>
    <w:qFormat/>
    <w:uiPriority w:val="0"/>
    <w:rPr>
      <w:rFonts w:ascii="Times New Roman" w:hAnsi="Times New Roman" w:eastAsia="宋体" w:cs="Times New Roman"/>
      <w:b/>
      <w:bCs/>
      <w:sz w:val="32"/>
      <w:szCs w:val="32"/>
      <w:lang w:val="zh-CN" w:eastAsia="zh-CN"/>
    </w:rPr>
  </w:style>
  <w:style w:type="character" w:customStyle="1" w:styleId="62">
    <w:name w:val="标题 4 字符"/>
    <w:basedOn w:val="38"/>
    <w:link w:val="8"/>
    <w:autoRedefine/>
    <w:qFormat/>
    <w:uiPriority w:val="0"/>
    <w:rPr>
      <w:rFonts w:ascii="Arial" w:hAnsi="Arial" w:eastAsia="黑体" w:cs="Times New Roman"/>
      <w:b/>
      <w:kern w:val="0"/>
      <w:sz w:val="28"/>
      <w:szCs w:val="20"/>
    </w:rPr>
  </w:style>
  <w:style w:type="character" w:customStyle="1" w:styleId="63">
    <w:name w:val="日期 字符"/>
    <w:basedOn w:val="38"/>
    <w:link w:val="19"/>
    <w:autoRedefine/>
    <w:qFormat/>
    <w:uiPriority w:val="0"/>
    <w:rPr>
      <w:rFonts w:ascii="Arial" w:hAnsi="Arial" w:eastAsia="楷体_GB2312" w:cs="Times New Roman"/>
      <w:sz w:val="28"/>
      <w:szCs w:val="20"/>
    </w:rPr>
  </w:style>
  <w:style w:type="character" w:customStyle="1" w:styleId="64">
    <w:name w:val="正文文本缩进 字符"/>
    <w:basedOn w:val="38"/>
    <w:link w:val="13"/>
    <w:autoRedefine/>
    <w:qFormat/>
    <w:uiPriority w:val="0"/>
    <w:rPr>
      <w:rFonts w:ascii="Times New Roman" w:hAnsi="Times New Roman" w:eastAsia="仿宋_GB2312" w:cs="Times New Roman"/>
      <w:sz w:val="28"/>
      <w:szCs w:val="20"/>
    </w:rPr>
  </w:style>
  <w:style w:type="paragraph" w:customStyle="1" w:styleId="65">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6">
    <w:name w:val="正文文本缩进 2 字符"/>
    <w:basedOn w:val="38"/>
    <w:link w:val="20"/>
    <w:autoRedefine/>
    <w:qFormat/>
    <w:uiPriority w:val="0"/>
    <w:rPr>
      <w:rFonts w:ascii="Times New Roman" w:hAnsi="Times New Roman" w:eastAsia="仿宋_GB2312" w:cs="Times New Roman"/>
      <w:sz w:val="28"/>
      <w:szCs w:val="20"/>
    </w:rPr>
  </w:style>
  <w:style w:type="paragraph" w:customStyle="1" w:styleId="67">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68">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69">
    <w:name w:val="样式 标题 2 + 宋体 五号 行距: 单倍行距"/>
    <w:basedOn w:val="6"/>
    <w:autoRedefine/>
    <w:qFormat/>
    <w:uiPriority w:val="0"/>
    <w:pPr>
      <w:spacing w:line="240" w:lineRule="auto"/>
    </w:pPr>
    <w:rPr>
      <w:rFonts w:ascii="宋体" w:hAnsi="宋体" w:eastAsia="宋体"/>
      <w:sz w:val="21"/>
    </w:rPr>
  </w:style>
  <w:style w:type="paragraph" w:customStyle="1" w:styleId="70">
    <w:name w:val="Char Char Char Char Char"/>
    <w:basedOn w:val="1"/>
    <w:autoRedefine/>
    <w:qFormat/>
    <w:uiPriority w:val="0"/>
    <w:rPr>
      <w:rFonts w:ascii="Tahoma" w:hAnsi="Tahoma"/>
      <w:sz w:val="24"/>
    </w:rPr>
  </w:style>
  <w:style w:type="paragraph" w:customStyle="1" w:styleId="71">
    <w:name w:val="Char"/>
    <w:basedOn w:val="1"/>
    <w:autoRedefine/>
    <w:qFormat/>
    <w:uiPriority w:val="0"/>
    <w:rPr>
      <w:rFonts w:ascii="Tahoma" w:hAnsi="Tahoma"/>
      <w:sz w:val="24"/>
    </w:rPr>
  </w:style>
  <w:style w:type="character" w:customStyle="1" w:styleId="72">
    <w:name w:val="正文文本缩进 3 字符"/>
    <w:basedOn w:val="38"/>
    <w:link w:val="27"/>
    <w:autoRedefine/>
    <w:qFormat/>
    <w:uiPriority w:val="0"/>
    <w:rPr>
      <w:rFonts w:ascii="仿宋_GB2312" w:hAnsi="Arial" w:eastAsia="仿宋_GB2312" w:cs="Times New Roman"/>
      <w:sz w:val="28"/>
      <w:szCs w:val="24"/>
    </w:rPr>
  </w:style>
  <w:style w:type="paragraph" w:customStyle="1" w:styleId="73">
    <w:name w:val="Char1"/>
    <w:basedOn w:val="1"/>
    <w:autoRedefine/>
    <w:qFormat/>
    <w:uiPriority w:val="0"/>
    <w:rPr>
      <w:rFonts w:ascii="Tahoma" w:hAnsi="Tahoma" w:eastAsia="仿宋_GB2312"/>
      <w:sz w:val="24"/>
    </w:rPr>
  </w:style>
  <w:style w:type="paragraph" w:customStyle="1" w:styleId="74">
    <w:name w:val="Char Char Char Char Char Char Char1 Char"/>
    <w:basedOn w:val="1"/>
    <w:autoRedefine/>
    <w:qFormat/>
    <w:uiPriority w:val="0"/>
    <w:rPr>
      <w:rFonts w:ascii="Tahoma" w:hAnsi="Tahoma"/>
      <w:sz w:val="24"/>
    </w:rPr>
  </w:style>
  <w:style w:type="character" w:customStyle="1" w:styleId="75">
    <w:name w:val="正文文本 字符"/>
    <w:basedOn w:val="38"/>
    <w:link w:val="3"/>
    <w:autoRedefine/>
    <w:qFormat/>
    <w:uiPriority w:val="0"/>
    <w:rPr>
      <w:rFonts w:ascii="Times New Roman" w:hAnsi="Times New Roman" w:eastAsia="宋体" w:cs="Times New Roman"/>
      <w:szCs w:val="24"/>
    </w:rPr>
  </w:style>
  <w:style w:type="paragraph" w:customStyle="1" w:styleId="76">
    <w:name w:val="Char Char Char Char"/>
    <w:basedOn w:val="1"/>
    <w:next w:val="1"/>
    <w:autoRedefine/>
    <w:qFormat/>
    <w:uiPriority w:val="0"/>
    <w:pPr>
      <w:widowControl/>
      <w:spacing w:line="360" w:lineRule="auto"/>
      <w:jc w:val="left"/>
    </w:pPr>
  </w:style>
  <w:style w:type="character" w:customStyle="1" w:styleId="77">
    <w:name w:val="批注框文本 字符"/>
    <w:basedOn w:val="38"/>
    <w:link w:val="21"/>
    <w:autoRedefine/>
    <w:qFormat/>
    <w:uiPriority w:val="0"/>
    <w:rPr>
      <w:rFonts w:ascii="Times New Roman" w:hAnsi="Times New Roman" w:eastAsia="宋体" w:cs="Times New Roman"/>
      <w:sz w:val="18"/>
      <w:szCs w:val="18"/>
    </w:rPr>
  </w:style>
  <w:style w:type="paragraph" w:customStyle="1" w:styleId="78">
    <w:name w:val="Char Char Char"/>
    <w:basedOn w:val="1"/>
    <w:autoRedefine/>
    <w:qFormat/>
    <w:uiPriority w:val="0"/>
    <w:rPr>
      <w:rFonts w:ascii="Tahoma" w:hAnsi="Tahoma"/>
      <w:sz w:val="24"/>
    </w:rPr>
  </w:style>
  <w:style w:type="paragraph" w:customStyle="1" w:styleId="79">
    <w:name w:val="Char Char Char Char Char Char Char Char Char Char"/>
    <w:basedOn w:val="1"/>
    <w:autoRedefine/>
    <w:qFormat/>
    <w:uiPriority w:val="0"/>
    <w:rPr>
      <w:rFonts w:ascii="Tahoma" w:hAnsi="Tahoma" w:cs="仿宋_GB2312"/>
      <w:sz w:val="24"/>
    </w:rPr>
  </w:style>
  <w:style w:type="character" w:customStyle="1" w:styleId="80">
    <w:name w:val="批注文字 字符"/>
    <w:basedOn w:val="38"/>
    <w:link w:val="11"/>
    <w:autoRedefine/>
    <w:semiHidden/>
    <w:qFormat/>
    <w:uiPriority w:val="99"/>
    <w:rPr>
      <w:rFonts w:ascii="Times New Roman" w:hAnsi="Times New Roman" w:eastAsia="宋体" w:cs="Times New Roman"/>
      <w:szCs w:val="20"/>
    </w:rPr>
  </w:style>
  <w:style w:type="character" w:customStyle="1" w:styleId="81">
    <w:name w:val="批注主题 字符"/>
    <w:basedOn w:val="80"/>
    <w:link w:val="34"/>
    <w:autoRedefine/>
    <w:semiHidden/>
    <w:qFormat/>
    <w:uiPriority w:val="99"/>
    <w:rPr>
      <w:rFonts w:ascii="Times New Roman" w:hAnsi="Times New Roman" w:eastAsia="宋体" w:cs="Times New Roman"/>
      <w:b/>
      <w:bCs/>
      <w:szCs w:val="20"/>
    </w:rPr>
  </w:style>
  <w:style w:type="paragraph" w:customStyle="1" w:styleId="82">
    <w:name w:val="Char Char Char Char Char Char"/>
    <w:basedOn w:val="1"/>
    <w:autoRedefine/>
    <w:qFormat/>
    <w:uiPriority w:val="0"/>
  </w:style>
  <w:style w:type="character" w:customStyle="1" w:styleId="83">
    <w:name w:val="纯文本 字符"/>
    <w:link w:val="17"/>
    <w:autoRedefine/>
    <w:qFormat/>
    <w:uiPriority w:val="0"/>
    <w:rPr>
      <w:rFonts w:ascii="宋体" w:hAnsi="Courier New" w:eastAsia="宋体"/>
    </w:rPr>
  </w:style>
  <w:style w:type="character" w:customStyle="1" w:styleId="84">
    <w:name w:val="纯文本 Char1"/>
    <w:basedOn w:val="38"/>
    <w:autoRedefine/>
    <w:semiHidden/>
    <w:qFormat/>
    <w:uiPriority w:val="99"/>
    <w:rPr>
      <w:rFonts w:ascii="宋体" w:hAnsi="Courier New" w:eastAsia="宋体" w:cs="Courier New"/>
      <w:szCs w:val="21"/>
    </w:rPr>
  </w:style>
  <w:style w:type="paragraph" w:customStyle="1" w:styleId="85">
    <w:name w:val="Char12 Char Char Char"/>
    <w:basedOn w:val="1"/>
    <w:autoRedefine/>
    <w:qFormat/>
    <w:uiPriority w:val="0"/>
  </w:style>
  <w:style w:type="character" w:customStyle="1" w:styleId="86">
    <w:name w:val="文档结构图 字符"/>
    <w:basedOn w:val="38"/>
    <w:link w:val="10"/>
    <w:autoRedefine/>
    <w:qFormat/>
    <w:uiPriority w:val="0"/>
    <w:rPr>
      <w:rFonts w:ascii="Times New Roman" w:hAnsi="Times New Roman" w:eastAsia="宋体" w:cs="Times New Roman"/>
      <w:szCs w:val="20"/>
      <w:shd w:val="clear" w:color="auto" w:fill="000080"/>
    </w:rPr>
  </w:style>
  <w:style w:type="character" w:customStyle="1" w:styleId="87">
    <w:name w:val="style29"/>
    <w:autoRedefine/>
    <w:qFormat/>
    <w:uiPriority w:val="0"/>
  </w:style>
  <w:style w:type="character" w:customStyle="1" w:styleId="88">
    <w:name w:val="正文1"/>
    <w:autoRedefine/>
    <w:qFormat/>
    <w:uiPriority w:val="0"/>
  </w:style>
  <w:style w:type="character" w:customStyle="1" w:styleId="89">
    <w:name w:val="font11"/>
    <w:autoRedefine/>
    <w:qFormat/>
    <w:uiPriority w:val="0"/>
    <w:rPr>
      <w:rFonts w:hint="default" w:ascii="Times New Roman" w:hAnsi="Times New Roman" w:cs="Times New Roman"/>
      <w:color w:val="3366FF"/>
      <w:sz w:val="24"/>
      <w:szCs w:val="24"/>
      <w:u w:val="none"/>
    </w:rPr>
  </w:style>
  <w:style w:type="character" w:customStyle="1" w:styleId="90">
    <w:name w:val="font21"/>
    <w:autoRedefine/>
    <w:qFormat/>
    <w:uiPriority w:val="0"/>
    <w:rPr>
      <w:rFonts w:hint="eastAsia" w:ascii="宋体" w:hAnsi="宋体" w:eastAsia="宋体"/>
      <w:color w:val="3366FF"/>
      <w:sz w:val="24"/>
      <w:szCs w:val="24"/>
      <w:u w:val="none"/>
    </w:rPr>
  </w:style>
  <w:style w:type="paragraph" w:customStyle="1" w:styleId="91">
    <w:name w:val="Char Char15"/>
    <w:basedOn w:val="1"/>
    <w:autoRedefine/>
    <w:qFormat/>
    <w:uiPriority w:val="0"/>
    <w:rPr>
      <w:rFonts w:ascii="Tahoma" w:hAnsi="Tahoma" w:eastAsia="仿宋_GB2312"/>
      <w:sz w:val="24"/>
    </w:rPr>
  </w:style>
  <w:style w:type="paragraph" w:customStyle="1" w:styleId="92">
    <w:name w:val="Char2"/>
    <w:basedOn w:val="1"/>
    <w:autoRedefine/>
    <w:qFormat/>
    <w:uiPriority w:val="0"/>
    <w:pPr>
      <w:tabs>
        <w:tab w:val="left" w:pos="360"/>
      </w:tabs>
    </w:pPr>
    <w:rPr>
      <w:sz w:val="24"/>
      <w:szCs w:val="24"/>
    </w:rPr>
  </w:style>
  <w:style w:type="paragraph" w:customStyle="1" w:styleId="93">
    <w:name w:val="Char16"/>
    <w:basedOn w:val="1"/>
    <w:autoRedefine/>
    <w:qFormat/>
    <w:uiPriority w:val="0"/>
    <w:rPr>
      <w:rFonts w:ascii="Tahoma" w:hAnsi="Tahoma" w:eastAsia="仿宋_GB2312"/>
      <w:sz w:val="24"/>
    </w:rPr>
  </w:style>
  <w:style w:type="paragraph" w:customStyle="1" w:styleId="94">
    <w:name w:val="Char Char1"/>
    <w:basedOn w:val="1"/>
    <w:autoRedefine/>
    <w:qFormat/>
    <w:uiPriority w:val="0"/>
    <w:rPr>
      <w:rFonts w:ascii="Tahoma" w:hAnsi="Tahoma"/>
      <w:sz w:val="24"/>
    </w:rPr>
  </w:style>
  <w:style w:type="paragraph" w:customStyle="1" w:styleId="95">
    <w:name w:val="Char Char Char Char Char Char Char"/>
    <w:basedOn w:val="1"/>
    <w:autoRedefine/>
    <w:qFormat/>
    <w:uiPriority w:val="0"/>
    <w:rPr>
      <w:szCs w:val="24"/>
    </w:rPr>
  </w:style>
  <w:style w:type="paragraph" w:customStyle="1" w:styleId="96">
    <w:name w:val="Char Char"/>
    <w:basedOn w:val="1"/>
    <w:autoRedefine/>
    <w:qFormat/>
    <w:uiPriority w:val="0"/>
    <w:rPr>
      <w:rFonts w:ascii="Tahoma" w:hAnsi="Tahoma" w:cs="仿宋_GB2312"/>
      <w:sz w:val="24"/>
    </w:rPr>
  </w:style>
  <w:style w:type="paragraph" w:customStyle="1" w:styleId="97">
    <w:name w:val="Char Char2"/>
    <w:basedOn w:val="1"/>
    <w:autoRedefine/>
    <w:qFormat/>
    <w:uiPriority w:val="0"/>
    <w:rPr>
      <w:rFonts w:ascii="Tahoma" w:hAnsi="Tahoma" w:cs="仿宋_GB2312"/>
      <w:sz w:val="24"/>
    </w:rPr>
  </w:style>
  <w:style w:type="paragraph" w:customStyle="1" w:styleId="98">
    <w:name w:val="Char Char Char1"/>
    <w:basedOn w:val="1"/>
    <w:autoRedefine/>
    <w:qFormat/>
    <w:uiPriority w:val="0"/>
    <w:rPr>
      <w:rFonts w:ascii="Tahoma" w:hAnsi="Tahoma"/>
      <w:sz w:val="24"/>
    </w:rPr>
  </w:style>
  <w:style w:type="paragraph" w:customStyle="1" w:styleId="99">
    <w:name w:val="D&amp;L"/>
    <w:basedOn w:val="23"/>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100">
    <w:name w:val="正文文本 3 字符"/>
    <w:basedOn w:val="38"/>
    <w:link w:val="12"/>
    <w:autoRedefine/>
    <w:qFormat/>
    <w:uiPriority w:val="99"/>
    <w:rPr>
      <w:rFonts w:ascii="Calibri" w:hAnsi="Calibri" w:eastAsia="宋体" w:cs="Times New Roman"/>
      <w:sz w:val="16"/>
      <w:szCs w:val="16"/>
      <w:lang w:val="zh-CN" w:eastAsia="zh-CN"/>
    </w:rPr>
  </w:style>
  <w:style w:type="paragraph" w:customStyle="1" w:styleId="10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0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3">
    <w:name w:val="style23"/>
    <w:autoRedefine/>
    <w:qFormat/>
    <w:uiPriority w:val="0"/>
    <w:rPr>
      <w:rFonts w:ascii="Times New Roman" w:hAnsi="Times New Roman" w:eastAsia="宋体"/>
    </w:rPr>
  </w:style>
  <w:style w:type="paragraph" w:customStyle="1" w:styleId="104">
    <w:name w:val="p0"/>
    <w:basedOn w:val="1"/>
    <w:autoRedefine/>
    <w:qFormat/>
    <w:uiPriority w:val="0"/>
    <w:pPr>
      <w:widowControl/>
      <w:jc w:val="left"/>
    </w:pPr>
    <w:rPr>
      <w:rFonts w:ascii="等线" w:hAnsi="等线" w:eastAsia="等线" w:cs="等线"/>
      <w:kern w:val="0"/>
      <w:sz w:val="20"/>
      <w:szCs w:val="22"/>
    </w:rPr>
  </w:style>
  <w:style w:type="paragraph" w:customStyle="1" w:styleId="105">
    <w:name w:val="列表段落1"/>
    <w:basedOn w:val="1"/>
    <w:autoRedefine/>
    <w:qFormat/>
    <w:uiPriority w:val="34"/>
    <w:pPr>
      <w:ind w:firstLine="420" w:firstLineChars="200"/>
    </w:pPr>
    <w:rPr>
      <w:szCs w:val="24"/>
    </w:rPr>
  </w:style>
  <w:style w:type="paragraph" w:customStyle="1" w:styleId="106">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7">
    <w:name w:val="List Paragraph"/>
    <w:basedOn w:val="1"/>
    <w:autoRedefine/>
    <w:qFormat/>
    <w:uiPriority w:val="99"/>
    <w:pPr>
      <w:ind w:firstLine="420" w:firstLineChars="200"/>
    </w:pPr>
  </w:style>
  <w:style w:type="table" w:customStyle="1" w:styleId="108">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09">
    <w:name w:val="first-child3"/>
    <w:basedOn w:val="38"/>
    <w:autoRedefine/>
    <w:qFormat/>
    <w:uiPriority w:val="0"/>
  </w:style>
  <w:style w:type="character" w:customStyle="1" w:styleId="110">
    <w:name w:val="layui-this"/>
    <w:basedOn w:val="38"/>
    <w:autoRedefine/>
    <w:qFormat/>
    <w:uiPriority w:val="0"/>
    <w:rPr>
      <w:bdr w:val="single" w:color="EEEEEE" w:sz="4" w:space="0"/>
      <w:shd w:val="clear" w:color="auto" w:fill="FFFFFF"/>
    </w:rPr>
  </w:style>
  <w:style w:type="character" w:customStyle="1" w:styleId="111">
    <w:name w:val="first-child2"/>
    <w:basedOn w:val="38"/>
    <w:autoRedefine/>
    <w:qFormat/>
    <w:uiPriority w:val="0"/>
  </w:style>
  <w:style w:type="character" w:customStyle="1" w:styleId="112">
    <w:name w:val="first-child"/>
    <w:basedOn w:val="38"/>
    <w:autoRedefine/>
    <w:qFormat/>
    <w:uiPriority w:val="0"/>
  </w:style>
  <w:style w:type="character" w:customStyle="1" w:styleId="113">
    <w:name w:val="first-child1"/>
    <w:basedOn w:val="38"/>
    <w:autoRedefine/>
    <w:qFormat/>
    <w:uiPriority w:val="0"/>
  </w:style>
  <w:style w:type="paragraph" w:customStyle="1" w:styleId="114">
    <w:name w:val="Table Paragraph"/>
    <w:basedOn w:val="1"/>
    <w:autoRedefine/>
    <w:qFormat/>
    <w:uiPriority w:val="99"/>
    <w:pPr>
      <w:jc w:val="left"/>
    </w:pPr>
    <w:rPr>
      <w:rFonts w:ascii="宋体" w:hAnsi="宋体" w:cs="宋体"/>
      <w:kern w:val="0"/>
      <w:sz w:val="22"/>
      <w:szCs w:val="22"/>
      <w:lang w:eastAsia="en-US"/>
    </w:rPr>
  </w:style>
  <w:style w:type="character" w:customStyle="1" w:styleId="115">
    <w:name w:val="标题 2 字符"/>
    <w:link w:val="6"/>
    <w:autoRedefine/>
    <w:qFormat/>
    <w:uiPriority w:val="0"/>
    <w:rPr>
      <w:rFonts w:ascii="Arial" w:hAnsi="Arial" w:eastAsia="黑体"/>
      <w:b/>
      <w:bCs/>
      <w:sz w:val="32"/>
      <w:szCs w:val="32"/>
    </w:rPr>
  </w:style>
  <w:style w:type="character" w:customStyle="1" w:styleId="116">
    <w:name w:val="place"/>
    <w:basedOn w:val="38"/>
    <w:autoRedefine/>
    <w:qFormat/>
    <w:uiPriority w:val="0"/>
  </w:style>
  <w:style w:type="character" w:customStyle="1" w:styleId="117">
    <w:name w:val="place1"/>
    <w:basedOn w:val="38"/>
    <w:autoRedefine/>
    <w:qFormat/>
    <w:uiPriority w:val="0"/>
  </w:style>
  <w:style w:type="character" w:customStyle="1" w:styleId="118">
    <w:name w:val="place2"/>
    <w:basedOn w:val="38"/>
    <w:autoRedefine/>
    <w:qFormat/>
    <w:uiPriority w:val="0"/>
    <w:rPr>
      <w:rFonts w:ascii="微软雅黑" w:hAnsi="微软雅黑" w:eastAsia="微软雅黑" w:cs="微软雅黑"/>
      <w:color w:val="888888"/>
      <w:sz w:val="20"/>
      <w:szCs w:val="20"/>
    </w:rPr>
  </w:style>
  <w:style w:type="character" w:customStyle="1" w:styleId="119">
    <w:name w:val="place3"/>
    <w:basedOn w:val="38"/>
    <w:autoRedefine/>
    <w:qFormat/>
    <w:uiPriority w:val="0"/>
  </w:style>
  <w:style w:type="character" w:customStyle="1" w:styleId="120">
    <w:name w:val="font"/>
    <w:basedOn w:val="38"/>
    <w:autoRedefine/>
    <w:qFormat/>
    <w:uiPriority w:val="0"/>
  </w:style>
  <w:style w:type="character" w:customStyle="1" w:styleId="121">
    <w:name w:val="font1"/>
    <w:basedOn w:val="38"/>
    <w:autoRedefine/>
    <w:qFormat/>
    <w:uiPriority w:val="0"/>
  </w:style>
  <w:style w:type="character" w:customStyle="1" w:styleId="122">
    <w:name w:val="gwds_nopic"/>
    <w:basedOn w:val="38"/>
    <w:autoRedefine/>
    <w:qFormat/>
    <w:uiPriority w:val="0"/>
  </w:style>
  <w:style w:type="character" w:customStyle="1" w:styleId="123">
    <w:name w:val="gwds_nopic1"/>
    <w:basedOn w:val="38"/>
    <w:autoRedefine/>
    <w:qFormat/>
    <w:uiPriority w:val="0"/>
  </w:style>
  <w:style w:type="character" w:customStyle="1" w:styleId="124">
    <w:name w:val="gwds_nopic2"/>
    <w:basedOn w:val="38"/>
    <w:autoRedefine/>
    <w:qFormat/>
    <w:uiPriority w:val="0"/>
  </w:style>
  <w:style w:type="character" w:customStyle="1" w:styleId="125">
    <w:name w:val="noline"/>
    <w:basedOn w:val="38"/>
    <w:autoRedefine/>
    <w:qFormat/>
    <w:uiPriority w:val="0"/>
  </w:style>
  <w:style w:type="character" w:customStyle="1" w:styleId="126">
    <w:name w:val="hover17"/>
    <w:basedOn w:val="38"/>
    <w:autoRedefine/>
    <w:qFormat/>
    <w:uiPriority w:val="0"/>
    <w:rPr>
      <w:color w:val="025291"/>
    </w:rPr>
  </w:style>
  <w:style w:type="character" w:customStyle="1" w:styleId="127">
    <w:name w:val="Unresolved Mention"/>
    <w:basedOn w:val="38"/>
    <w:autoRedefine/>
    <w:semiHidden/>
    <w:unhideWhenUsed/>
    <w:qFormat/>
    <w:uiPriority w:val="99"/>
    <w:rPr>
      <w:color w:val="605E5C"/>
      <w:shd w:val="clear" w:color="auto" w:fill="E1DFDD"/>
    </w:rPr>
  </w:style>
  <w:style w:type="character" w:customStyle="1" w:styleId="128">
    <w:name w:val="NormalCharacter"/>
    <w:link w:val="1"/>
    <w:autoRedefine/>
    <w:qFormat/>
    <w:uiPriority w:val="0"/>
    <w:rPr>
      <w:rFonts w:ascii="Times New Roman" w:hAnsi="Times New Roman" w:eastAsia="宋体" w:cs="Times New Roman"/>
      <w:kern w:val="2"/>
      <w:sz w:val="21"/>
      <w:lang w:val="en-US" w:eastAsia="zh-CN" w:bidi="ar-SA"/>
    </w:rPr>
  </w:style>
  <w:style w:type="character" w:customStyle="1" w:styleId="129">
    <w:name w:val="hover1"/>
    <w:basedOn w:val="38"/>
    <w:autoRedefine/>
    <w:qFormat/>
    <w:uiPriority w:val="0"/>
    <w:rPr>
      <w:color w:val="2590EB"/>
      <w:shd w:val="clear" w:fill="E9F4FD"/>
    </w:rPr>
  </w:style>
  <w:style w:type="character" w:customStyle="1" w:styleId="130">
    <w:name w:val="hover2"/>
    <w:basedOn w:val="38"/>
    <w:autoRedefine/>
    <w:qFormat/>
    <w:uiPriority w:val="0"/>
    <w:rPr>
      <w:color w:val="2590EB"/>
    </w:rPr>
  </w:style>
  <w:style w:type="character" w:customStyle="1" w:styleId="131">
    <w:name w:val="hover3"/>
    <w:basedOn w:val="38"/>
    <w:autoRedefine/>
    <w:qFormat/>
    <w:uiPriority w:val="0"/>
    <w:rPr>
      <w:color w:val="2590EB"/>
    </w:rPr>
  </w:style>
  <w:style w:type="character" w:customStyle="1" w:styleId="132">
    <w:name w:val="hover4"/>
    <w:basedOn w:val="38"/>
    <w:autoRedefine/>
    <w:qFormat/>
    <w:uiPriority w:val="0"/>
  </w:style>
  <w:style w:type="character" w:customStyle="1" w:styleId="133">
    <w:name w:val="hover"/>
    <w:basedOn w:val="3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12990</Words>
  <Characters>13544</Characters>
  <Lines>294</Lines>
  <Paragraphs>82</Paragraphs>
  <TotalTime>88</TotalTime>
  <ScaleCrop>false</ScaleCrop>
  <LinksUpToDate>false</LinksUpToDate>
  <CharactersWithSpaces>14621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吴丹</cp:lastModifiedBy>
  <cp:lastPrinted>2023-05-12T00:51:00Z</cp:lastPrinted>
  <dcterms:modified xsi:type="dcterms:W3CDTF">2024-06-26T00:48:27Z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302733F5B957457780DC8E8D62B569F6</vt:lpwstr>
  </property>
</Properties>
</file>